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行政处罚</w:t>
      </w:r>
      <w:r>
        <w:rPr>
          <w:rFonts w:hint="eastAsia"/>
          <w:sz w:val="24"/>
          <w:szCs w:val="24"/>
        </w:rPr>
        <w:t>一般程序</w:t>
      </w:r>
      <w:bookmarkStart w:id="0" w:name="_GoBack"/>
      <w:bookmarkEnd w:id="0"/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操作流程：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1、立案（填写立案审批表）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① 执法人员在路面管理巡查发现；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② 社会各界人士或群众举报（来电、来信、来访）符合立案条件的；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③ 领导交办符合立案条件的。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2、调查取证（必须有两人以上）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① 现场勘察、检查笔录（标示、画图等）；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② 收集视听资料（拍照、摄像、录音等）；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③ 证据保存（在证据可能灭失的情况下），但必须在七天内处理；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④ 询问笔录（调查当事人）；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⑤ 证人证言（调查相关人员）；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⑥ 对仍处在违法行为状态的当事人发出《责令整改通知书》；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⑦ 执法调查人员写出调查报告。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3、行政处罚事先告知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① 向当事人送达陈述、申辩告知书（三天期限）；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② 对符合听证程序的处罚对象送达听证告知书（符合听证程序的三个要件：a.对非经营活动中公民、法人或者其他组织的违法行为处以1000元以上罚款的；b.对经营活动中的违法行为处以20000元以上罚款的）。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4、行政处罚审批（填写审批表）。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① 按照规定权限逐级审核、审批（办案单位提出处罚意见，法规股审核，负责人审批）；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② 重大案件需经集体讨论后方可审批（有集体讨论记录。注：重大案件是指对于案件难以定性，案情情节比较复杂的需要集体讨论的处罚案件）；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③ 制作行政处罚决定书。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5、送达（7天内送达）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① 送达方式：直接送达、留置送达、公告送达、委托送达等；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② 送达回证：送达人、当事人均须签字，如遇当事人拒签，必须有执法人员以外的证人证明签字及拍照、摄像留证）。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6、执行。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① 当事人15日内到指定银行缴纳，到期不缴纳的，每日按罚款数额的3%加处罚款；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② 对罚款拒不执行的，申请人民法院强制执行；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③ 填写执行情况记录。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7、结案。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填写结案报告表或撰写结案报告。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8、归档。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将完整的案卷卷宗送局法规股录入网上行权公开平台后，由大队统一装订卷宗，排列卷宗号，归档保管。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58D060"/>
    <w:multiLevelType w:val="singleLevel"/>
    <w:tmpl w:val="CA58D0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B1AA3"/>
    <w:rsid w:val="01E43C3E"/>
    <w:rsid w:val="052B1AA3"/>
    <w:rsid w:val="0B2B0F51"/>
    <w:rsid w:val="18F375D2"/>
    <w:rsid w:val="29307179"/>
    <w:rsid w:val="2BFD6D8F"/>
    <w:rsid w:val="3CD920F3"/>
    <w:rsid w:val="50001E67"/>
    <w:rsid w:val="547542CC"/>
    <w:rsid w:val="5B126337"/>
    <w:rsid w:val="7D7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2021-09-08T02:19:00Z</dcterms:created>
  <dc:creator>lenovo</dc:creator>
  <cp:lastModifiedBy>lenovo</cp:lastModifiedBy>
  <dcterms:modified xsi:type="dcterms:W3CDTF">2021-09-14T01:45:48Z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