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_GB2312" w:hAnsi="仿宋_GB2312" w:eastAsia="仿宋_GB2312" w:cs="仿宋_GB2312"/>
          <w:sz w:val="32"/>
          <w:szCs w:val="32"/>
          <w:lang w:val="en-US" w:eastAsia="zh-CN"/>
        </w:rPr>
      </w:pPr>
    </w:p>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val="en-US" w:eastAsia="zh-CN"/>
        </w:rPr>
        <w:t>河南寨</w:t>
      </w:r>
      <w:bookmarkStart w:id="0" w:name="_GoBack"/>
      <w:bookmarkEnd w:id="0"/>
      <w:r>
        <w:rPr>
          <w:rFonts w:hint="eastAsia" w:ascii="方正小标宋简体" w:hAnsi="方正小标宋简体" w:eastAsia="方正小标宋简体" w:cs="方正小标宋简体"/>
          <w:sz w:val="36"/>
          <w:szCs w:val="36"/>
          <w:lang w:val="en-US" w:eastAsia="zh-CN"/>
        </w:rPr>
        <w:t>镇</w:t>
      </w:r>
      <w:r>
        <w:rPr>
          <w:rFonts w:hint="eastAsia" w:ascii="方正小标宋简体" w:hAnsi="方正小标宋简体" w:eastAsia="方正小标宋简体" w:cs="方正小标宋简体"/>
          <w:sz w:val="36"/>
          <w:szCs w:val="36"/>
        </w:rPr>
        <w:t>行政职权运行责任清单</w:t>
      </w:r>
    </w:p>
    <w:p>
      <w:pPr>
        <w:rPr>
          <w:rFonts w:hint="eastAsia"/>
        </w:rPr>
      </w:pPr>
    </w:p>
    <w:tbl>
      <w:tblPr>
        <w:tblStyle w:val="2"/>
        <w:tblW w:w="8546"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58"/>
        <w:gridCol w:w="1818"/>
        <w:gridCol w:w="59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5" w:hRule="atLeast"/>
          <w:tblCellSpacing w:w="0" w:type="dxa"/>
        </w:trPr>
        <w:tc>
          <w:tcPr>
            <w:tcW w:w="8546" w:type="dxa"/>
            <w:gridSpan w:val="3"/>
            <w:tcBorders>
              <w:top w:val="single" w:color="auto" w:sz="6" w:space="0"/>
              <w:left w:val="single" w:color="auto" w:sz="6" w:space="0"/>
              <w:bottom w:val="single" w:color="auto" w:sz="6" w:space="0"/>
              <w:right w:val="single" w:color="auto" w:sz="6" w:space="0"/>
            </w:tcBorders>
            <w:tcMar>
              <w:top w:w="0" w:type="dxa"/>
              <w:left w:w="105" w:type="dxa"/>
              <w:bottom w:w="0" w:type="dxa"/>
              <w:right w:w="105" w:type="dxa"/>
            </w:tcMar>
            <w:vAlign w:val="center"/>
          </w:tcPr>
          <w:p>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b/>
                <w:bCs/>
                <w:kern w:val="0"/>
                <w:sz w:val="24"/>
                <w:szCs w:val="24"/>
              </w:rPr>
              <w:t>一、行政许可类行政职权运行责任</w:t>
            </w:r>
            <w:r>
              <w:rPr>
                <w:rFonts w:hint="eastAsia" w:ascii="宋体" w:hAnsi="宋体" w:eastAsia="宋体" w:cs="宋体"/>
                <w:kern w:val="0"/>
                <w:sz w:val="24"/>
                <w:szCs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序号</w:t>
            </w:r>
            <w:r>
              <w:rPr>
                <w:rFonts w:hint="eastAsia" w:ascii="宋体" w:hAnsi="宋体" w:eastAsia="宋体" w:cs="宋体"/>
                <w:kern w:val="0"/>
                <w:sz w:val="24"/>
                <w:szCs w:val="24"/>
              </w:rPr>
              <w:t xml:space="preserve"> </w:t>
            </w:r>
          </w:p>
        </w:tc>
        <w:tc>
          <w:tcPr>
            <w:tcW w:w="181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运行环节</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责任事项</w:t>
            </w:r>
            <w:r>
              <w:rPr>
                <w:rFonts w:hint="eastAsia" w:ascii="宋体" w:hAnsi="宋体" w:eastAsia="宋体" w:cs="宋体"/>
                <w:kern w:val="0"/>
                <w:sz w:val="24"/>
                <w:szCs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1 </w:t>
            </w:r>
          </w:p>
        </w:tc>
        <w:tc>
          <w:tcPr>
            <w:tcW w:w="1818" w:type="dxa"/>
            <w:vMerge w:val="restart"/>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(一)受理</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接收申请人提交的材料。若申请人提交的申请材料不齐全、不符合法定形式,应当一次性告知申请人必须补正的全部内容。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2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受理或者不予受理行政许可申请,应当出具加盖行政机关专用印章和注明日期的书面凭证。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3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依法说明不受理行政许可申请或者不予行政许可的理由。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3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4 </w:t>
            </w:r>
          </w:p>
        </w:tc>
        <w:tc>
          <w:tcPr>
            <w:tcW w:w="1818" w:type="dxa"/>
            <w:vMerge w:val="restart"/>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(二)审查</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申请人提交的申请材料齐全、符合法定形式,能够当场作出决定的,当场作出书面的行政许可决定。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5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根据法定条件和程序,需要对申请材料的实质内容进行核实的,行政机关应当指派2名以上工作人员进行核查。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6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需依法举行听证的应当依法举行听证。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7 </w:t>
            </w:r>
          </w:p>
        </w:tc>
        <w:tc>
          <w:tcPr>
            <w:tcW w:w="1818" w:type="dxa"/>
            <w:vMerge w:val="restart"/>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(三)决定</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对符合法定条件的申请人应</w:t>
            </w:r>
            <w:r>
              <w:rPr>
                <w:rFonts w:hint="eastAsia" w:ascii="宋体" w:hAnsi="宋体" w:eastAsia="宋体" w:cs="宋体"/>
                <w:color w:val="000000"/>
                <w:kern w:val="0"/>
                <w:sz w:val="24"/>
                <w:szCs w:val="24"/>
              </w:rPr>
              <w:t>当在法定职权范围和期限内尽快作出准予</w:t>
            </w:r>
            <w:r>
              <w:rPr>
                <w:rFonts w:hint="eastAsia" w:ascii="宋体" w:hAnsi="宋体" w:eastAsia="宋体" w:cs="宋体"/>
                <w:kern w:val="0"/>
                <w:sz w:val="24"/>
                <w:szCs w:val="24"/>
              </w:rPr>
              <w:t xml:space="preserve">行政许可的决定。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8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依法根据招标、拍卖结果或者考试成绩择优作出准予行政许可的决定。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1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9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依法作出不予行政许可的书面决定的,应当说明理由,并告知申请人享有依法申请行政复议或者提起行政诉讼的权利。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10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按法定项目和标准予以收费。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11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作出的准予行政许可决定,应当予以公开,公众有权查阅。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12 </w:t>
            </w:r>
          </w:p>
        </w:tc>
        <w:tc>
          <w:tcPr>
            <w:tcW w:w="1818" w:type="dxa"/>
            <w:vMerge w:val="restart"/>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(四)送达</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送达行政执法文书应当有送达回证,受送达人在送达回证上的签收日期为送达日期。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13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送达程序参照民事诉讼法有关规定执行。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14 </w:t>
            </w:r>
          </w:p>
        </w:tc>
        <w:tc>
          <w:tcPr>
            <w:tcW w:w="1818" w:type="dxa"/>
            <w:vMerge w:val="restart"/>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(五)事后监管</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建立健全监督制度,通过核查反映被许可人从事行政许可事项活动情况的有关材料,履行监督责任。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15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建立随机抽查制度,对被许可人生产经营的产品依法进行抽样检查、检验、检测,对其生产经营场所依法进行实地检查。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16 </w:t>
            </w:r>
          </w:p>
        </w:tc>
        <w:tc>
          <w:tcPr>
            <w:tcW w:w="1818" w:type="dxa"/>
            <w:vMerge w:val="restart"/>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ascii="宋体" w:hAnsi="宋体" w:eastAsia="宋体" w:cs="宋体"/>
                <w:kern w:val="0"/>
                <w:sz w:val="24"/>
                <w:szCs w:val="24"/>
              </w:rPr>
            </w:pPr>
            <w:r>
              <w:rPr>
                <w:rFonts w:hint="eastAsia" w:ascii="宋体" w:hAnsi="宋体" w:eastAsia="宋体" w:cs="宋体"/>
                <w:kern w:val="0"/>
                <w:sz w:val="24"/>
                <w:szCs w:val="24"/>
              </w:rPr>
              <w:t xml:space="preserve">  根据法律、行政法规的规定,对直接关系公共安全、人身健康、生命财产安全的重要设备、设施进行定期检验。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17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实施监督检查时,应当将监督检查的情况和处理结果予以记录,由监督检查人员签字后归档。公众有权查阅监督检查记录。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18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实施监督检查,不得妨碍被许可人正常的生产经营活动,不得索取或收受被许可人的财物,不得谋取其他利益。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blCellSpacing w:w="0" w:type="dxa"/>
        </w:trPr>
        <w:tc>
          <w:tcPr>
            <w:tcW w:w="8546" w:type="dxa"/>
            <w:gridSpan w:val="3"/>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cs="宋体"/>
                <w:b/>
                <w:bCs/>
                <w:kern w:val="0"/>
                <w:sz w:val="24"/>
                <w:szCs w:val="24"/>
                <w:lang w:val="en-US" w:eastAsia="zh-CN"/>
              </w:rPr>
              <w:t>二</w:t>
            </w:r>
            <w:r>
              <w:rPr>
                <w:rFonts w:hint="eastAsia" w:ascii="宋体" w:hAnsi="宋体" w:eastAsia="宋体" w:cs="宋体"/>
                <w:b/>
                <w:bCs/>
                <w:kern w:val="0"/>
                <w:sz w:val="24"/>
                <w:szCs w:val="24"/>
              </w:rPr>
              <w:t>、行政确认类行政职权运行责任清单</w:t>
            </w:r>
            <w:r>
              <w:rPr>
                <w:rFonts w:hint="eastAsia" w:ascii="宋体" w:hAnsi="宋体" w:eastAsia="宋体" w:cs="宋体"/>
                <w:kern w:val="0"/>
                <w:sz w:val="24"/>
                <w:szCs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序号</w:t>
            </w:r>
            <w:r>
              <w:rPr>
                <w:rFonts w:hint="eastAsia" w:ascii="宋体" w:hAnsi="宋体" w:eastAsia="宋体" w:cs="宋体"/>
                <w:kern w:val="0"/>
                <w:sz w:val="24"/>
                <w:szCs w:val="24"/>
              </w:rPr>
              <w:t xml:space="preserve"> </w:t>
            </w:r>
          </w:p>
        </w:tc>
        <w:tc>
          <w:tcPr>
            <w:tcW w:w="181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运行环节</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责任事项</w:t>
            </w:r>
            <w:r>
              <w:rPr>
                <w:rFonts w:hint="eastAsia" w:ascii="宋体" w:hAnsi="宋体" w:eastAsia="宋体" w:cs="宋体"/>
                <w:kern w:val="0"/>
                <w:sz w:val="24"/>
                <w:szCs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1 </w:t>
            </w:r>
          </w:p>
        </w:tc>
        <w:tc>
          <w:tcPr>
            <w:tcW w:w="1818" w:type="dxa"/>
            <w:vMerge w:val="restart"/>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b/>
                <w:bCs/>
                <w:kern w:val="0"/>
                <w:sz w:val="24"/>
                <w:szCs w:val="24"/>
              </w:rPr>
              <w:t>(一)受理</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对符合确认条件的,当场受理。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2 </w:t>
            </w:r>
          </w:p>
        </w:tc>
        <w:tc>
          <w:tcPr>
            <w:tcW w:w="1818" w:type="dxa"/>
            <w:vMerge w:val="continue"/>
            <w:tcBorders>
              <w:top w:val="nil"/>
              <w:left w:val="nil"/>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申请材料不齐全或者不符合法定形式的,应当一次性告知申请人需要补正的全部内容和合理的补正期限。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3 </w:t>
            </w:r>
          </w:p>
        </w:tc>
        <w:tc>
          <w:tcPr>
            <w:tcW w:w="1818" w:type="dxa"/>
            <w:vMerge w:val="continue"/>
            <w:tcBorders>
              <w:top w:val="nil"/>
              <w:left w:val="nil"/>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对不符合受理条件的,应当书面告知办理人不予办理行政确认的理由和依据。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4 </w:t>
            </w:r>
          </w:p>
        </w:tc>
        <w:tc>
          <w:tcPr>
            <w:tcW w:w="1818" w:type="dxa"/>
            <w:vMerge w:val="restart"/>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b/>
                <w:bCs/>
                <w:kern w:val="0"/>
                <w:sz w:val="24"/>
                <w:szCs w:val="24"/>
              </w:rPr>
              <w:t>(二)确认</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在法定期限(承诺期限)内完成确认。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1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5 </w:t>
            </w:r>
          </w:p>
        </w:tc>
        <w:tc>
          <w:tcPr>
            <w:tcW w:w="1818" w:type="dxa"/>
            <w:vMerge w:val="continue"/>
            <w:tcBorders>
              <w:top w:val="nil"/>
              <w:left w:val="nil"/>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严格按照流程图规定进行研究确认,不得提高确认标准、扩大确认范围等。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6 </w:t>
            </w:r>
          </w:p>
        </w:tc>
        <w:tc>
          <w:tcPr>
            <w:tcW w:w="1818" w:type="dxa"/>
            <w:vMerge w:val="continue"/>
            <w:tcBorders>
              <w:top w:val="nil"/>
              <w:left w:val="nil"/>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按照一定的技术规范要求以书面形式作出决定,并发放确认文书。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7 </w:t>
            </w:r>
          </w:p>
        </w:tc>
        <w:tc>
          <w:tcPr>
            <w:tcW w:w="1818" w:type="dxa"/>
            <w:vMerge w:val="continue"/>
            <w:tcBorders>
              <w:top w:val="nil"/>
              <w:left w:val="nil"/>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不符合确认要求的不予确认,并说明理由。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8 </w:t>
            </w:r>
          </w:p>
        </w:tc>
        <w:tc>
          <w:tcPr>
            <w:tcW w:w="181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b/>
                <w:bCs/>
                <w:kern w:val="0"/>
                <w:sz w:val="24"/>
                <w:szCs w:val="24"/>
              </w:rPr>
              <w:t>(三)送达</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送达程序参照民事诉讼法有关规定执行。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9 </w:t>
            </w:r>
          </w:p>
        </w:tc>
        <w:tc>
          <w:tcPr>
            <w:tcW w:w="181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b/>
                <w:bCs/>
                <w:kern w:val="0"/>
                <w:sz w:val="24"/>
                <w:szCs w:val="24"/>
              </w:rPr>
              <w:t>(四)事后监管</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建立健全事后监管制度,依法履行监督责任。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blCellSpacing w:w="0" w:type="dxa"/>
        </w:trPr>
        <w:tc>
          <w:tcPr>
            <w:tcW w:w="8546" w:type="dxa"/>
            <w:gridSpan w:val="3"/>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cs="宋体"/>
                <w:b/>
                <w:bCs/>
                <w:kern w:val="0"/>
                <w:sz w:val="24"/>
                <w:szCs w:val="24"/>
                <w:lang w:val="en-US" w:eastAsia="zh-CN"/>
              </w:rPr>
              <w:t>三</w:t>
            </w:r>
            <w:r>
              <w:rPr>
                <w:rFonts w:hint="eastAsia" w:ascii="宋体" w:hAnsi="宋体" w:eastAsia="宋体" w:cs="宋体"/>
                <w:b/>
                <w:bCs/>
                <w:kern w:val="0"/>
                <w:sz w:val="24"/>
                <w:szCs w:val="24"/>
              </w:rPr>
              <w:t>、行政强制类(行政强制措施)行政职权运行责任清单</w:t>
            </w:r>
            <w:r>
              <w:rPr>
                <w:rFonts w:hint="eastAsia" w:ascii="宋体" w:hAnsi="宋体" w:eastAsia="宋体" w:cs="宋体"/>
                <w:kern w:val="0"/>
                <w:sz w:val="24"/>
                <w:szCs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序号</w:t>
            </w:r>
            <w:r>
              <w:rPr>
                <w:rFonts w:hint="eastAsia" w:ascii="宋体" w:hAnsi="宋体" w:eastAsia="宋体" w:cs="宋体"/>
                <w:kern w:val="0"/>
                <w:sz w:val="24"/>
                <w:szCs w:val="24"/>
              </w:rPr>
              <w:t xml:space="preserve"> </w:t>
            </w:r>
          </w:p>
        </w:tc>
        <w:tc>
          <w:tcPr>
            <w:tcW w:w="181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运行环节</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责任事项</w:t>
            </w:r>
            <w:r>
              <w:rPr>
                <w:rFonts w:hint="eastAsia" w:ascii="宋体" w:hAnsi="宋体" w:eastAsia="宋体" w:cs="宋体"/>
                <w:kern w:val="0"/>
                <w:sz w:val="24"/>
                <w:szCs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1 </w:t>
            </w:r>
          </w:p>
        </w:tc>
        <w:tc>
          <w:tcPr>
            <w:tcW w:w="1818" w:type="dxa"/>
            <w:vMerge w:val="restart"/>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b/>
                <w:bCs/>
                <w:kern w:val="0"/>
                <w:sz w:val="24"/>
                <w:szCs w:val="24"/>
              </w:rPr>
              <w:t>(一)决定</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实施前应当先报告,经批准后作出实施行政强制措施的决定。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2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批准实施行政强制措施应当符合法定条件。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3 </w:t>
            </w:r>
          </w:p>
        </w:tc>
        <w:tc>
          <w:tcPr>
            <w:tcW w:w="1818" w:type="dxa"/>
            <w:vMerge w:val="restart"/>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b/>
                <w:bCs/>
                <w:kern w:val="0"/>
                <w:sz w:val="24"/>
                <w:szCs w:val="24"/>
              </w:rPr>
              <w:t>(二)执行</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color w:val="000000"/>
                <w:kern w:val="0"/>
                <w:sz w:val="24"/>
                <w:szCs w:val="24"/>
              </w:rPr>
              <w:t>  由2名以上具备资格的行政执法人员实施,其他人员不得实施。</w:t>
            </w:r>
            <w:r>
              <w:rPr>
                <w:rFonts w:hint="eastAsia" w:ascii="宋体" w:hAnsi="宋体" w:eastAsia="宋体" w:cs="宋体"/>
                <w:kern w:val="0"/>
                <w:sz w:val="24"/>
                <w:szCs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4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行政执法人员应当现场出示执法身份证件。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0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5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实施行政强制措施时应当通知当事人到场,并告知当事人采取行政强制措施的理由、依据以及当事人依法享有的权利、救济途径。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8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6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充分听取当事人的意见,对当事人提出的事实、理由和证据,应当进行复核,当事人提出的事实、理由或者证据成立的,应当采纳。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1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7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制作现场笔录,现场笔录由当事人和行政执法人员签名或者盖章,当事人拒绝的,在笔录中予以注明。当事人不到场的,邀请见证人到场,由见证人和行政执法人员在现场笔录上签名或者盖章。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6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8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实施限制公民人身自由的行政强制措施,应当场告知或者实施行政强制措施后立即通知当事人家属实施行政强制措施的行政机关、地点和期限。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9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对依法应当没收或法律、行政法规规定应当销毁的,应当依法予以没收或销毁。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10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情况紧急,需要当场实施行政强制措施的,行政执法人员应当在24小时内向行政机关负责人报告,并补办批准手续。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11 </w:t>
            </w:r>
          </w:p>
        </w:tc>
        <w:tc>
          <w:tcPr>
            <w:tcW w:w="1818" w:type="dxa"/>
            <w:vMerge w:val="restart"/>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b/>
                <w:bCs/>
                <w:kern w:val="0"/>
                <w:sz w:val="24"/>
                <w:szCs w:val="24"/>
              </w:rPr>
              <w:t>(三)解除</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对符合解除行政强制措施条件的,应当依法解除行政强制措施。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12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对构成犯罪的,依法、及时移送司法机关。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13 </w:t>
            </w:r>
          </w:p>
        </w:tc>
        <w:tc>
          <w:tcPr>
            <w:tcW w:w="181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b/>
                <w:bCs/>
                <w:kern w:val="0"/>
                <w:sz w:val="24"/>
                <w:szCs w:val="24"/>
              </w:rPr>
              <w:t>(四)事后监管</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建立健全事后监管制度,依法履行监督责任。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0" w:hRule="atLeast"/>
          <w:tblCellSpacing w:w="0" w:type="dxa"/>
        </w:trPr>
        <w:tc>
          <w:tcPr>
            <w:tcW w:w="8546" w:type="dxa"/>
            <w:gridSpan w:val="3"/>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cs="宋体"/>
                <w:b/>
                <w:bCs/>
                <w:kern w:val="0"/>
                <w:sz w:val="24"/>
                <w:szCs w:val="24"/>
                <w:lang w:val="en-US" w:eastAsia="zh-CN"/>
              </w:rPr>
              <w:t>四</w:t>
            </w:r>
            <w:r>
              <w:rPr>
                <w:rFonts w:hint="eastAsia" w:ascii="宋体" w:hAnsi="宋体" w:eastAsia="宋体" w:cs="宋体"/>
                <w:b/>
                <w:bCs/>
                <w:kern w:val="0"/>
                <w:sz w:val="24"/>
                <w:szCs w:val="24"/>
              </w:rPr>
              <w:t>、行政强制类(行政强制执行)行政职权运行责任清单</w:t>
            </w:r>
            <w:r>
              <w:rPr>
                <w:rFonts w:hint="eastAsia" w:ascii="宋体" w:hAnsi="宋体" w:eastAsia="宋体" w:cs="宋体"/>
                <w:kern w:val="0"/>
                <w:sz w:val="24"/>
                <w:szCs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序号</w:t>
            </w:r>
            <w:r>
              <w:rPr>
                <w:rFonts w:hint="eastAsia" w:ascii="宋体" w:hAnsi="宋体" w:eastAsia="宋体" w:cs="宋体"/>
                <w:kern w:val="0"/>
                <w:sz w:val="24"/>
                <w:szCs w:val="24"/>
              </w:rPr>
              <w:t xml:space="preserve"> </w:t>
            </w:r>
          </w:p>
        </w:tc>
        <w:tc>
          <w:tcPr>
            <w:tcW w:w="181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运行环节</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责任事项</w:t>
            </w:r>
            <w:r>
              <w:rPr>
                <w:rFonts w:hint="eastAsia" w:ascii="宋体" w:hAnsi="宋体" w:eastAsia="宋体" w:cs="宋体"/>
                <w:kern w:val="0"/>
                <w:sz w:val="24"/>
                <w:szCs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1 </w:t>
            </w:r>
          </w:p>
        </w:tc>
        <w:tc>
          <w:tcPr>
            <w:tcW w:w="1818" w:type="dxa"/>
            <w:vMerge w:val="restart"/>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b/>
                <w:bCs/>
                <w:kern w:val="0"/>
                <w:sz w:val="24"/>
                <w:szCs w:val="24"/>
              </w:rPr>
              <w:t>(一)催告</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行政机关作出强制执行决定前,应当事先书面催告当事人履行义务。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1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2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催告书应当直接送达当事人。当事人拒绝接收或者无法直接送达当事人的,依照民事诉讼法的有关规定送达。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3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3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催告期间,对有证据证明有转移或者隐匿财物迹象的,可以作出立即强制执行决定。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2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4 </w:t>
            </w:r>
          </w:p>
        </w:tc>
        <w:tc>
          <w:tcPr>
            <w:tcW w:w="1818" w:type="dxa"/>
            <w:vMerge w:val="restart"/>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b/>
                <w:bCs/>
                <w:kern w:val="0"/>
                <w:sz w:val="24"/>
                <w:szCs w:val="24"/>
              </w:rPr>
              <w:t>(二)决定</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充分听取当事人的意见,对当事人提出的事实、理由和证据,应当进行记录、复核。当事人提出的事实、理由或者证据成立的,应当采纳。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5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经催告,当事人逾期仍不履行行政决定,且无正当理由的,应当作出书面强制执行决定。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6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6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行政强制执行决定书催告书应当直接送达当事人。当事人拒绝接收或者无法直接送达当事人的,依照民事诉讼法的有关规定送达。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7 </w:t>
            </w:r>
          </w:p>
        </w:tc>
        <w:tc>
          <w:tcPr>
            <w:tcW w:w="1818" w:type="dxa"/>
            <w:vMerge w:val="restart"/>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b/>
                <w:bCs/>
                <w:kern w:val="0"/>
                <w:sz w:val="24"/>
                <w:szCs w:val="24"/>
              </w:rPr>
              <w:t>(三)执行</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依法实施行政强制执行。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1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8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不得在夜间或者法定节假日实施行政强制执行,情况紧急的除外;不得对居民生活采取停止供水、供电、供热、供燃气等方式迫使当事人履行相关行政决定。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9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对违法的建筑物、构筑物、设施等需要强制拆除的,应当予以公告,限期当事人自行拆除。当事人在法定期限内不申请行政复议或者提起行政诉讼,又不拆除的,可依法强制拆除。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8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10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划拨的存款、汇款以及拍卖和依法处理所得的款项应当上缴国库或者划入财政专户,不得以任何形式截留、私分或者变相私分。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11 </w:t>
            </w:r>
          </w:p>
        </w:tc>
        <w:tc>
          <w:tcPr>
            <w:tcW w:w="181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b/>
                <w:bCs/>
                <w:kern w:val="0"/>
                <w:sz w:val="24"/>
                <w:szCs w:val="24"/>
              </w:rPr>
              <w:t>(四)事后监管</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建立健全事后监管制度,依法履行监督责任。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blCellSpacing w:w="0" w:type="dxa"/>
        </w:trPr>
        <w:tc>
          <w:tcPr>
            <w:tcW w:w="8546" w:type="dxa"/>
            <w:gridSpan w:val="3"/>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cs="宋体"/>
                <w:b/>
                <w:bCs/>
                <w:kern w:val="0"/>
                <w:sz w:val="24"/>
                <w:szCs w:val="24"/>
                <w:lang w:val="en-US" w:eastAsia="zh-CN"/>
              </w:rPr>
              <w:t>五</w:t>
            </w:r>
            <w:r>
              <w:rPr>
                <w:rFonts w:hint="eastAsia" w:ascii="宋体" w:hAnsi="宋体" w:eastAsia="宋体" w:cs="宋体"/>
                <w:b/>
                <w:bCs/>
                <w:kern w:val="0"/>
                <w:sz w:val="24"/>
                <w:szCs w:val="24"/>
              </w:rPr>
              <w:t>、行政给付行政职权运行责任清单</w:t>
            </w:r>
            <w:r>
              <w:rPr>
                <w:rFonts w:hint="eastAsia" w:ascii="宋体" w:hAnsi="宋体" w:eastAsia="宋体" w:cs="宋体"/>
                <w:kern w:val="0"/>
                <w:sz w:val="24"/>
                <w:szCs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序号</w:t>
            </w:r>
            <w:r>
              <w:rPr>
                <w:rFonts w:hint="eastAsia" w:ascii="宋体" w:hAnsi="宋体" w:eastAsia="宋体" w:cs="宋体"/>
                <w:kern w:val="0"/>
                <w:sz w:val="24"/>
                <w:szCs w:val="24"/>
              </w:rPr>
              <w:t xml:space="preserve"> </w:t>
            </w:r>
          </w:p>
        </w:tc>
        <w:tc>
          <w:tcPr>
            <w:tcW w:w="181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运行环节</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责任事项</w:t>
            </w:r>
            <w:r>
              <w:rPr>
                <w:rFonts w:hint="eastAsia" w:ascii="宋体" w:hAnsi="宋体" w:eastAsia="宋体" w:cs="宋体"/>
                <w:kern w:val="0"/>
                <w:sz w:val="24"/>
                <w:szCs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6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1 </w:t>
            </w:r>
          </w:p>
        </w:tc>
        <w:tc>
          <w:tcPr>
            <w:tcW w:w="1818" w:type="dxa"/>
            <w:vMerge w:val="restart"/>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b/>
                <w:bCs/>
                <w:kern w:val="0"/>
                <w:sz w:val="24"/>
                <w:szCs w:val="24"/>
              </w:rPr>
              <w:t>(一)受理</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对符合受理条件的,应当受理,并制作受理通知书;对不符合受理条件的不予受理,并书面告知申请人不予受理的理由和依据。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2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申请材料不齐全或者不符合法定形式的,应当一次性告知申请人需要补正的全部内容和合理的补正期限。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3 </w:t>
            </w:r>
          </w:p>
        </w:tc>
        <w:tc>
          <w:tcPr>
            <w:tcW w:w="181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b/>
                <w:bCs/>
                <w:kern w:val="0"/>
                <w:sz w:val="24"/>
                <w:szCs w:val="24"/>
              </w:rPr>
              <w:t>(二)审查</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在法定期限(承诺期限)内完成审查。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1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4 </w:t>
            </w:r>
          </w:p>
        </w:tc>
        <w:tc>
          <w:tcPr>
            <w:tcW w:w="1818" w:type="dxa"/>
            <w:vMerge w:val="restart"/>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b/>
                <w:bCs/>
                <w:kern w:val="0"/>
                <w:sz w:val="24"/>
                <w:szCs w:val="24"/>
              </w:rPr>
              <w:t>(三)决定</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对于符合条件的,作出给于给付的决定,明确给付标准以及后续办事事宜,并通知申请人前来领取。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5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对不符合给付条件的,书面告知申请人不予给付的理由和依据。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6 </w:t>
            </w:r>
          </w:p>
        </w:tc>
        <w:tc>
          <w:tcPr>
            <w:tcW w:w="181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b/>
                <w:bCs/>
                <w:kern w:val="0"/>
                <w:sz w:val="24"/>
                <w:szCs w:val="24"/>
              </w:rPr>
              <w:t>(四)给付</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按照</w:t>
            </w:r>
            <w:r>
              <w:rPr>
                <w:rFonts w:hint="eastAsia" w:ascii="宋体" w:hAnsi="宋体" w:eastAsia="宋体" w:cs="宋体"/>
                <w:color w:val="000000"/>
                <w:kern w:val="0"/>
                <w:sz w:val="24"/>
                <w:szCs w:val="24"/>
              </w:rPr>
              <w:t>规定标准</w:t>
            </w:r>
            <w:r>
              <w:rPr>
                <w:rFonts w:hint="eastAsia" w:ascii="宋体" w:hAnsi="宋体" w:eastAsia="宋体" w:cs="宋体"/>
                <w:kern w:val="0"/>
                <w:sz w:val="24"/>
                <w:szCs w:val="24"/>
              </w:rPr>
              <w:t xml:space="preserve">予以给付。 </w:t>
            </w:r>
          </w:p>
          <w:p>
            <w:pPr>
              <w:widowControl/>
              <w:spacing w:before="100" w:beforeAutospacing="1" w:after="100" w:afterAutospacing="1"/>
              <w:jc w:val="lef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7 </w:t>
            </w:r>
          </w:p>
        </w:tc>
        <w:tc>
          <w:tcPr>
            <w:tcW w:w="181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b/>
                <w:bCs/>
                <w:kern w:val="0"/>
                <w:sz w:val="24"/>
                <w:szCs w:val="24"/>
              </w:rPr>
              <w:t>(五)事后监管</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开展检查,加强日常监管。 </w:t>
            </w:r>
          </w:p>
          <w:p>
            <w:pPr>
              <w:widowControl/>
              <w:spacing w:before="100" w:beforeAutospacing="1" w:after="100" w:afterAutospacing="1"/>
              <w:jc w:val="left"/>
              <w:rPr>
                <w:rFonts w:hint="eastAsia"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0" w:hRule="atLeast"/>
          <w:tblCellSpacing w:w="0" w:type="dxa"/>
        </w:trPr>
        <w:tc>
          <w:tcPr>
            <w:tcW w:w="8546" w:type="dxa"/>
            <w:gridSpan w:val="3"/>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cs="宋体"/>
                <w:b/>
                <w:bCs/>
                <w:kern w:val="0"/>
                <w:sz w:val="24"/>
                <w:szCs w:val="24"/>
                <w:lang w:val="en-US" w:eastAsia="zh-CN"/>
              </w:rPr>
              <w:t>六</w:t>
            </w:r>
            <w:r>
              <w:rPr>
                <w:rFonts w:hint="eastAsia" w:ascii="宋体" w:hAnsi="宋体" w:eastAsia="宋体" w:cs="宋体"/>
                <w:b/>
                <w:bCs/>
                <w:kern w:val="0"/>
                <w:sz w:val="24"/>
                <w:szCs w:val="24"/>
              </w:rPr>
              <w:t>、行政检查类行政职权运行责任清单</w:t>
            </w:r>
            <w:r>
              <w:rPr>
                <w:rFonts w:hint="eastAsia" w:ascii="宋体" w:hAnsi="宋体" w:eastAsia="宋体" w:cs="宋体"/>
                <w:kern w:val="0"/>
                <w:sz w:val="24"/>
                <w:szCs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序号</w:t>
            </w:r>
            <w:r>
              <w:rPr>
                <w:rFonts w:hint="eastAsia" w:ascii="宋体" w:hAnsi="宋体" w:eastAsia="宋体" w:cs="宋体"/>
                <w:kern w:val="0"/>
                <w:sz w:val="24"/>
                <w:szCs w:val="24"/>
              </w:rPr>
              <w:t xml:space="preserve"> </w:t>
            </w:r>
          </w:p>
        </w:tc>
        <w:tc>
          <w:tcPr>
            <w:tcW w:w="181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运行环节</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center"/>
              <w:rPr>
                <w:rFonts w:hint="eastAsia" w:ascii="宋体" w:hAnsi="宋体" w:eastAsia="宋体" w:cs="宋体"/>
                <w:kern w:val="0"/>
                <w:sz w:val="24"/>
                <w:szCs w:val="24"/>
              </w:rPr>
            </w:pPr>
            <w:r>
              <w:rPr>
                <w:rFonts w:hint="eastAsia" w:ascii="宋体" w:hAnsi="宋体" w:eastAsia="宋体" w:cs="宋体"/>
                <w:b/>
                <w:bCs/>
                <w:kern w:val="0"/>
                <w:sz w:val="24"/>
                <w:szCs w:val="24"/>
              </w:rPr>
              <w:t>责任事项</w:t>
            </w:r>
            <w:r>
              <w:rPr>
                <w:rFonts w:hint="eastAsia" w:ascii="宋体" w:hAnsi="宋体" w:eastAsia="宋体" w:cs="宋体"/>
                <w:kern w:val="0"/>
                <w:sz w:val="24"/>
                <w:szCs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1 </w:t>
            </w:r>
          </w:p>
        </w:tc>
        <w:tc>
          <w:tcPr>
            <w:tcW w:w="1818" w:type="dxa"/>
            <w:vMerge w:val="restart"/>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b/>
                <w:bCs/>
                <w:kern w:val="0"/>
                <w:sz w:val="24"/>
                <w:szCs w:val="24"/>
              </w:rPr>
              <w:t>(一)制定方案</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实施检查前应当依法制定含有正当理由、事项和内容的检查方案。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2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同一行政机关的多个内设机构和下属机构对同一当事人不同事项的行政检查,能够合并检查的应当合并检查。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3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上下级行政机关应当按照级别管辖和地域管辖相结合的原则合理划分检查范围,避免重复检查。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4 </w:t>
            </w:r>
          </w:p>
        </w:tc>
        <w:tc>
          <w:tcPr>
            <w:tcW w:w="1818" w:type="dxa"/>
            <w:vMerge w:val="restart"/>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b/>
                <w:bCs/>
                <w:kern w:val="0"/>
                <w:sz w:val="24"/>
                <w:szCs w:val="24"/>
              </w:rPr>
              <w:t>(二)实施检查</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依照检查方案规定的时限、范围开展检查。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5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实施检查时应当出示执法身份证件、检查方案。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6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依法查阅资料、查看现场、听取当事人陈述申辩并取证。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7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实施检查应当不影响当事人的正常生产经营活动与生活。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8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依法告知当事人检查中发现的违法行为及处理意见,对不服处理意见的,可以依法申请行政复议或提起行政诉讼。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9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color w:val="000000"/>
                <w:kern w:val="0"/>
                <w:sz w:val="24"/>
                <w:szCs w:val="24"/>
              </w:rPr>
              <w:t>  对检查中发现的违法行为应当予以制止和纠正。</w:t>
            </w:r>
            <w:r>
              <w:rPr>
                <w:rFonts w:hint="eastAsia" w:ascii="宋体" w:hAnsi="宋体" w:eastAsia="宋体" w:cs="宋体"/>
                <w:kern w:val="0"/>
                <w:sz w:val="24"/>
                <w:szCs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10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实施行政检查中不得乱收费、乱罚款、乱摊派,严禁吃、拿、卡、要。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11 </w:t>
            </w:r>
          </w:p>
        </w:tc>
        <w:tc>
          <w:tcPr>
            <w:tcW w:w="1818" w:type="dxa"/>
            <w:vMerge w:val="continue"/>
            <w:tcBorders>
              <w:top w:val="nil"/>
              <w:left w:val="single" w:color="000000" w:sz="6" w:space="0"/>
              <w:bottom w:val="single" w:color="000000" w:sz="6" w:space="0"/>
              <w:right w:val="single" w:color="000000" w:sz="6" w:space="0"/>
            </w:tcBorders>
            <w:vAlign w:val="center"/>
          </w:tcPr>
          <w:p>
            <w:pPr>
              <w:widowControl/>
              <w:jc w:val="left"/>
              <w:rPr>
                <w:rFonts w:ascii="宋体" w:hAnsi="宋体" w:eastAsia="宋体" w:cs="宋体"/>
                <w:kern w:val="0"/>
                <w:sz w:val="24"/>
                <w:szCs w:val="24"/>
              </w:rPr>
            </w:pP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不得放弃、推诿、拖延、拒绝履行检查职责。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5" w:hRule="atLeast"/>
          <w:tblCellSpacing w:w="0" w:type="dxa"/>
        </w:trPr>
        <w:tc>
          <w:tcPr>
            <w:tcW w:w="758"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12 </w:t>
            </w:r>
          </w:p>
        </w:tc>
        <w:tc>
          <w:tcPr>
            <w:tcW w:w="181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b/>
                <w:bCs/>
                <w:kern w:val="0"/>
                <w:sz w:val="24"/>
                <w:szCs w:val="24"/>
              </w:rPr>
              <w:t>(三)事后监管</w:t>
            </w:r>
            <w:r>
              <w:rPr>
                <w:rFonts w:hint="eastAsia" w:ascii="宋体" w:hAnsi="宋体" w:eastAsia="宋体" w:cs="宋体"/>
                <w:kern w:val="0"/>
                <w:sz w:val="24"/>
                <w:szCs w:val="24"/>
              </w:rPr>
              <w:t xml:space="preserve"> </w:t>
            </w:r>
          </w:p>
        </w:tc>
        <w:tc>
          <w:tcPr>
            <w:tcW w:w="5970"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对检查情况进行汇总、分类、归档备查,并跟踪监测。 </w:t>
            </w:r>
          </w:p>
        </w:tc>
      </w:tr>
    </w:tbl>
    <w:p>
      <w:pPr>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1361A1"/>
    <w:rsid w:val="001361A1"/>
    <w:rsid w:val="006566C4"/>
    <w:rsid w:val="006D7686"/>
    <w:rsid w:val="060941CE"/>
    <w:rsid w:val="2FBE4591"/>
    <w:rsid w:val="380C5BEB"/>
    <w:rsid w:val="3884560C"/>
    <w:rsid w:val="7A3BEE02"/>
    <w:rsid w:val="7FCE7A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unhideWhenUsed/>
    <w:qFormat/>
    <w:uiPriority w:val="1"/>
  </w:style>
  <w:style w:type="table" w:default="1" w:styleId="2">
    <w:name w:val="Normal Table"/>
    <w:unhideWhenUsed/>
    <w:qFormat/>
    <w:uiPriority w:val="99"/>
    <w:tblPr>
      <w:tblCellMar>
        <w:top w:w="0" w:type="dxa"/>
        <w:left w:w="108" w:type="dxa"/>
        <w:bottom w:w="0" w:type="dxa"/>
        <w:right w:w="108" w:type="dxa"/>
      </w:tblCellMar>
    </w:tblPr>
  </w:style>
  <w:style w:type="character" w:styleId="4">
    <w:name w:val="Strong"/>
    <w:basedOn w:val="3"/>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4539</Words>
  <Characters>4568</Characters>
  <Lines>43</Lines>
  <Paragraphs>12</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2017-09-01T17:16:00Z</dcterms:created>
  <dc:creator>wangpeng</dc:creator>
  <cp:lastModifiedBy>1</cp:lastModifiedBy>
  <dcterms:modified xsi:type="dcterms:W3CDTF">2023-01-29T08:13:22Z</dcterms:modified>
  <dc:title>附件3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7543CA6C976A476B972E6E3580E6CC2F</vt:lpwstr>
  </property>
</Properties>
</file>