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lang w:val="en-US" w:eastAsia="zh-CN"/>
        </w:rPr>
        <w:t>3</w:t>
      </w: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行政职权运行通用责任清单</w:t>
      </w:r>
    </w:p>
    <w:p>
      <w:pPr>
        <w:rPr>
          <w:rFonts w:hint="eastAsia"/>
        </w:rPr>
      </w:pPr>
    </w:p>
    <w:tbl>
      <w:tblPr>
        <w:tblStyle w:val="2"/>
        <w:tblW w:w="8546" w:type="dxa"/>
        <w:tblCellSpacing w:w="0" w:type="dxa"/>
        <w:tblInd w:w="0" w:type="dxa"/>
        <w:tblLayout w:type="fixed"/>
        <w:tblCellMar>
          <w:top w:w="0" w:type="dxa"/>
          <w:left w:w="0" w:type="dxa"/>
          <w:bottom w:w="0" w:type="dxa"/>
          <w:right w:w="0" w:type="dxa"/>
        </w:tblCellMar>
      </w:tblPr>
      <w:tblGrid>
        <w:gridCol w:w="758"/>
        <w:gridCol w:w="1818"/>
        <w:gridCol w:w="5970"/>
      </w:tblGrid>
      <w:tr>
        <w:tblPrEx>
          <w:tblLayout w:type="fixed"/>
        </w:tblPrEx>
        <w:trPr>
          <w:trHeight w:val="750" w:hRule="atLeast"/>
          <w:tblCellSpacing w:w="0" w:type="dxa"/>
        </w:trPr>
        <w:tc>
          <w:tcPr>
            <w:tcW w:w="8546" w:type="dxa"/>
            <w:gridSpan w:val="3"/>
            <w:tcBorders>
              <w:top w:val="single" w:color="auto" w:sz="6" w:space="0"/>
              <w:left w:val="single" w:color="auto" w:sz="6" w:space="0"/>
              <w:bottom w:val="single" w:color="auto" w:sz="6" w:space="0"/>
              <w:right w:val="single" w:color="auto"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 w:val="24"/>
                <w:szCs w:val="24"/>
              </w:rPr>
            </w:pPr>
            <w:r>
              <w:rPr>
                <w:rFonts w:hint="eastAsia" w:ascii="宋体" w:hAnsi="宋体" w:eastAsia="宋体" w:cs="宋体"/>
                <w:b/>
                <w:bCs/>
                <w:kern w:val="0"/>
                <w:sz w:val="24"/>
                <w:szCs w:val="24"/>
              </w:rPr>
              <w:t>一、行政许可类行政职权运行通用责任</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接收申请人提交的材料。若申请人提交的申请材料不齐全、不符合法定形式,应当一次性告知申请人必须补正的全部内容。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受理或者不予受理行政许可申请,应当出具加盖行政机关专用印章和注明日期的书面凭证。 </w:t>
            </w:r>
          </w:p>
        </w:tc>
      </w:tr>
      <w:tr>
        <w:tblPrEx>
          <w:tblLayout w:type="fixed"/>
          <w:tblCellMar>
            <w:top w:w="0" w:type="dxa"/>
            <w:left w:w="0" w:type="dxa"/>
            <w:bottom w:w="0" w:type="dxa"/>
            <w:right w:w="0" w:type="dxa"/>
          </w:tblCellMar>
        </w:tblPrEx>
        <w:trPr>
          <w:trHeight w:val="4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依法说明不受理行政许可申请或者不予行政许可的理由。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申请人提交的申请材料齐全、符合法定形式,能够当场作出决定的,当场作出书面的行政许可决定。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根据法定条件和程序,需要对申请材料的实质内容进行核实的,行政机关应当指派2名以上工作人员进行核查。 </w:t>
            </w:r>
          </w:p>
        </w:tc>
      </w:tr>
      <w:tr>
        <w:tblPrEx>
          <w:tblLayout w:type="fixed"/>
          <w:tblCellMar>
            <w:top w:w="0" w:type="dxa"/>
            <w:left w:w="0" w:type="dxa"/>
            <w:bottom w:w="0" w:type="dxa"/>
            <w:right w:w="0" w:type="dxa"/>
          </w:tblCellMar>
        </w:tblPrEx>
        <w:trPr>
          <w:trHeight w:val="5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需依法举行听证的应当依法举行听证。 </w:t>
            </w:r>
          </w:p>
        </w:tc>
      </w:tr>
      <w:tr>
        <w:tblPrEx>
          <w:tblLayout w:type="fixed"/>
          <w:tblCellMar>
            <w:top w:w="0" w:type="dxa"/>
            <w:left w:w="0" w:type="dxa"/>
            <w:bottom w:w="0" w:type="dxa"/>
            <w:right w:w="0" w:type="dxa"/>
          </w:tblCellMar>
        </w:tblPrEx>
        <w:trPr>
          <w:trHeight w:val="6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对符合法定条件的申请人应</w:t>
            </w:r>
            <w:r>
              <w:rPr>
                <w:rFonts w:hint="eastAsia" w:ascii="宋体" w:hAnsi="宋体" w:eastAsia="宋体" w:cs="宋体"/>
                <w:color w:val="000000"/>
                <w:kern w:val="0"/>
                <w:sz w:val="24"/>
                <w:szCs w:val="24"/>
              </w:rPr>
              <w:t>当在法定职权范围和期限内尽快作出准予</w:t>
            </w:r>
            <w:r>
              <w:rPr>
                <w:rFonts w:hint="eastAsia" w:ascii="宋体" w:hAnsi="宋体" w:eastAsia="宋体" w:cs="宋体"/>
                <w:kern w:val="0"/>
                <w:sz w:val="24"/>
                <w:szCs w:val="24"/>
              </w:rPr>
              <w:t xml:space="preserve">行政许可的决定。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依法根据招标、拍卖结果或者考试成绩择优作出准予行政许可的决定。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依法作出不予行政许可的书面决定的,应当说明理由,并告知申请人享有依法申请行政复议或者提起行政诉讼的权利。   </w:t>
            </w:r>
          </w:p>
        </w:tc>
      </w:tr>
      <w:tr>
        <w:tblPrEx>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按法定项目和标准予以收费。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作出的准予行政许可决定,应当予以公开,公众有权查阅。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restart"/>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(四)送达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送达行政执法文书应当有送达回证,受送达人在送达回证上的签收日期为送达日期。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Layout w:type="fixed"/>
          <w:tblCellMar>
            <w:top w:w="0" w:type="dxa"/>
            <w:left w:w="0" w:type="dxa"/>
            <w:bottom w:w="0" w:type="dxa"/>
            <w:right w:w="0" w:type="dxa"/>
          </w:tblCellMar>
        </w:tblPrEx>
        <w:trPr>
          <w:trHeight w:val="55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建立健全监督制度,通过核查反映被许可人从事行政许可事项活动情况的有关材料,履行监督责任。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建立随机抽查制度,对被许可人生产经营的产品依法进行抽样检查、检验、检测,对其生产经营场所依法进行实地检查。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16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宋体" w:hAnsi="宋体" w:eastAsia="宋体" w:cs="宋体"/>
                <w:kern w:val="0"/>
                <w:sz w:val="24"/>
                <w:szCs w:val="24"/>
              </w:rPr>
            </w:pPr>
            <w:r>
              <w:rPr>
                <w:rFonts w:hint="eastAsia" w:ascii="宋体" w:hAnsi="宋体" w:eastAsia="宋体" w:cs="宋体"/>
                <w:kern w:val="0"/>
                <w:sz w:val="24"/>
                <w:szCs w:val="24"/>
              </w:rPr>
              <w:t xml:space="preserve">      根据法律、行政法规的规定,对直接关系公共安全、人身健康、生命财产安全的重要设备、设施进行定期检验。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实施监督检查时,应当将监督检查的情况和处理结果予以记录,由监督检查人员签字后归档。公众有权查阅监督检查记录。 </w:t>
            </w:r>
          </w:p>
        </w:tc>
      </w:tr>
      <w:tr>
        <w:tblPrEx>
          <w:tblLayout w:type="fixed"/>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kern w:val="0"/>
                <w:sz w:val="24"/>
                <w:szCs w:val="24"/>
              </w:rPr>
              <w:t xml:space="preserve">18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实施监督检查,不得妨碍被许可人正常的生产经营活动,不得索取或收受被许可人的财物,不得谋取其他利益。 </w:t>
            </w:r>
          </w:p>
        </w:tc>
      </w:tr>
      <w:tr>
        <w:tblPrEx>
          <w:tblLayout w:type="fixed"/>
          <w:tblCellMar>
            <w:top w:w="0" w:type="dxa"/>
            <w:left w:w="0" w:type="dxa"/>
            <w:bottom w:w="0" w:type="dxa"/>
            <w:right w:w="0" w:type="dxa"/>
          </w:tblCellMar>
        </w:tblPrEx>
        <w:trPr>
          <w:trHeight w:val="75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二</w:t>
            </w:r>
            <w:r>
              <w:rPr>
                <w:rFonts w:hint="eastAsia" w:ascii="宋体" w:hAnsi="宋体" w:eastAsia="宋体" w:cs="宋体"/>
                <w:b/>
                <w:bCs/>
                <w:kern w:val="0"/>
                <w:sz w:val="24"/>
                <w:szCs w:val="24"/>
              </w:rPr>
              <w:t>、行政确认类行政职权运行通用责任清单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对符合确认条件的,当场受理。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对不符合受理条件的,应当书面告知办理人不予办理行政确认的理由和依据。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(二)确认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在法定期限(承诺期限)内完成确认。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严格按照流程图规定进行研究确认,不得提高确认标准、扩大确认范围等。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按照一定的技术规范要求以书面形式作出决定,并发放确认文书。 </w:t>
            </w:r>
          </w:p>
        </w:tc>
      </w:tr>
      <w:tr>
        <w:tblPrEx>
          <w:tblLayout w:type="fixed"/>
          <w:tblCellMar>
            <w:top w:w="0" w:type="dxa"/>
            <w:left w:w="0" w:type="dxa"/>
            <w:bottom w:w="0" w:type="dxa"/>
            <w:right w:w="0" w:type="dxa"/>
          </w:tblCellMar>
        </w:tblPrEx>
        <w:trPr>
          <w:trHeight w:val="54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nil"/>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不符合确认要求的不予确认,并说明理由。 </w:t>
            </w:r>
          </w:p>
        </w:tc>
      </w:tr>
      <w:tr>
        <w:tblPrEx>
          <w:tblLayout w:type="fixed"/>
          <w:tblCellMar>
            <w:top w:w="0" w:type="dxa"/>
            <w:left w:w="0" w:type="dxa"/>
            <w:bottom w:w="0" w:type="dxa"/>
            <w:right w:w="0" w:type="dxa"/>
          </w:tblCellMar>
        </w:tblPrEx>
        <w:trPr>
          <w:trHeight w:val="57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tcBorders>
              <w:top w:val="nil"/>
              <w:left w:val="nil"/>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(三)送达</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送达程序参照民事诉讼法有关规定执行。 </w:t>
            </w:r>
          </w:p>
        </w:tc>
      </w:tr>
      <w:tr>
        <w:tblPrEx>
          <w:tblLayout w:type="fixed"/>
          <w:tblCellMar>
            <w:top w:w="0" w:type="dxa"/>
            <w:left w:w="0" w:type="dxa"/>
            <w:bottom w:w="0" w:type="dxa"/>
            <w:right w:w="0" w:type="dxa"/>
          </w:tblCellMar>
        </w:tblPrEx>
        <w:trPr>
          <w:trHeight w:val="7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99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三</w:t>
            </w:r>
            <w:r>
              <w:rPr>
                <w:rFonts w:hint="eastAsia" w:ascii="宋体" w:hAnsi="宋体" w:eastAsia="宋体" w:cs="宋体"/>
                <w:b/>
                <w:bCs/>
                <w:kern w:val="0"/>
                <w:sz w:val="24"/>
                <w:szCs w:val="24"/>
              </w:rPr>
              <w:t>、行政强制类(行政强制措施)行政职权运行通用责任清单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实施前应当先报告,经批准后作出实施行政强制措施的决定。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批准实施行政强制措施应当符合法定条件。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由2名以上具备资格的行政执法人员实施,其他人员不得实施。</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行政执法人员应当现场出示执法身份证件。 </w:t>
            </w:r>
          </w:p>
        </w:tc>
      </w:tr>
      <w:tr>
        <w:tblPrEx>
          <w:tblLayout w:type="fixed"/>
          <w:tblCellMar>
            <w:top w:w="0" w:type="dxa"/>
            <w:left w:w="0" w:type="dxa"/>
            <w:bottom w:w="0" w:type="dxa"/>
            <w:right w:w="0" w:type="dxa"/>
          </w:tblCellMar>
        </w:tblPrEx>
        <w:trPr>
          <w:trHeight w:val="10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实施行政强制措施时应当通知当事人到场,并告知当事人采取行政强制措施的理由、依据以及当事人依法享有的权利、救济途径。 </w:t>
            </w:r>
          </w:p>
        </w:tc>
      </w:tr>
      <w:tr>
        <w:tblPrEx>
          <w:tblLayout w:type="fixed"/>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充分听取当事人的意见,对当事人提出的事实、理由和证据,应当进行复核,当事人提出的事实、理由或者证据成立的,应当采纳。 </w:t>
            </w:r>
          </w:p>
        </w:tc>
      </w:tr>
      <w:tr>
        <w:tblPrEx>
          <w:tblLayout w:type="fixed"/>
          <w:tblCellMar>
            <w:top w:w="0" w:type="dxa"/>
            <w:left w:w="0" w:type="dxa"/>
            <w:bottom w:w="0" w:type="dxa"/>
            <w:right w:w="0" w:type="dxa"/>
          </w:tblCellMar>
        </w:tblPrEx>
        <w:trPr>
          <w:trHeight w:val="14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制作现场笔录,现场笔录由当事人和行政执法人员签名或者盖章,当事人拒绝的,在笔录中予以注明。当事人不到场的,邀请见证人到场,由见证人和行政执法人员在现场笔录上签名或者盖章。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实施限制公民人身自由的行政强制措施,应当场告知或者实施行政强制措施后立即通知当事人家属实施行政强制措施的行政机关、地点和期限。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对依法应当没收或法律、行政法规规定应当销毁的,应当依法予以没收或销毁。 </w:t>
            </w:r>
          </w:p>
        </w:tc>
      </w:tr>
      <w:tr>
        <w:tblPrEx>
          <w:tblLayout w:type="fixed"/>
          <w:tblCellMar>
            <w:top w:w="0" w:type="dxa"/>
            <w:left w:w="0" w:type="dxa"/>
            <w:bottom w:w="0" w:type="dxa"/>
            <w:right w:w="0" w:type="dxa"/>
          </w:tblCellMar>
        </w:tblPrEx>
        <w:trPr>
          <w:trHeight w:val="7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情况紧急,需要当场实施行政强制措施的,行政执法人员应当在24小时内向行政机关负责人报告,并补办批准手续。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(三)解除</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对符合解除行政强制措施条件的,应当依法解除行政强制措施。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对构成犯罪的,依法、及时移送司法机关。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9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、行政强制类(行政强制执行)行政职权运行通用责任清单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(一)催告</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行政机关作出强制执行决定前,应当事先书面催告当事人履行义务。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催告书应当直接送达当事人。当事人拒绝接收或者无法直接送达当事人的,依照民事诉讼法的有关规定送达。 </w:t>
            </w:r>
          </w:p>
        </w:tc>
      </w:tr>
      <w:tr>
        <w:tblPrEx>
          <w:tblLayout w:type="fixed"/>
          <w:tblCellMar>
            <w:top w:w="0" w:type="dxa"/>
            <w:left w:w="0" w:type="dxa"/>
            <w:bottom w:w="0" w:type="dxa"/>
            <w:right w:w="0" w:type="dxa"/>
          </w:tblCellMar>
        </w:tblPrEx>
        <w:trPr>
          <w:trHeight w:val="7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催告期间,对有证据证明有转移或者隐匿财物迹象的,可以作出立即强制执行决定。 </w:t>
            </w:r>
          </w:p>
        </w:tc>
      </w:tr>
      <w:tr>
        <w:tblPrEx>
          <w:tblLayout w:type="fixed"/>
          <w:tblCellMar>
            <w:top w:w="0" w:type="dxa"/>
            <w:left w:w="0" w:type="dxa"/>
            <w:bottom w:w="0" w:type="dxa"/>
            <w:right w:w="0" w:type="dxa"/>
          </w:tblCellMar>
        </w:tblPrEx>
        <w:trPr>
          <w:trHeight w:val="10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充分听取当事人的意见,对当事人提出的事实、理由和证据,应当进行记录、复核。当事人提出的事实、理由或者证据成立的,应当采纳。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经催告,当事人逾期仍不履行行政决定,且无正当理由的,应当作出书面强制执行决定。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行政强制执行决定书催告书应当直接送达当事人。当事人拒绝接收或者无法直接送达当事人的,依照民事诉讼法的有关规定送达。 </w:t>
            </w:r>
          </w:p>
        </w:tc>
      </w:tr>
      <w:tr>
        <w:tblPrEx>
          <w:tblLayout w:type="fixed"/>
          <w:tblCellMar>
            <w:top w:w="0" w:type="dxa"/>
            <w:left w:w="0" w:type="dxa"/>
            <w:bottom w:w="0" w:type="dxa"/>
            <w:right w:w="0" w:type="dxa"/>
          </w:tblCellMar>
        </w:tblPrEx>
        <w:trPr>
          <w:trHeight w:val="58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(三)执行</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依法实施行政强制执行。 </w:t>
            </w:r>
          </w:p>
        </w:tc>
      </w:tr>
      <w:tr>
        <w:tblPrEx>
          <w:tblLayout w:type="fixed"/>
          <w:tblCellMar>
            <w:top w:w="0" w:type="dxa"/>
            <w:left w:w="0" w:type="dxa"/>
            <w:bottom w:w="0" w:type="dxa"/>
            <w:right w:w="0" w:type="dxa"/>
          </w:tblCellMar>
        </w:tblPrEx>
        <w:trPr>
          <w:trHeight w:val="11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不得在夜间或者法定节假日实施行政强制执行,情况紧急的除外;不得对居民生活采取停止供水、供电、供热、供燃气等方式迫使当事人履行相关行政决定。 </w:t>
            </w:r>
          </w:p>
        </w:tc>
      </w:tr>
      <w:tr>
        <w:tblPrEx>
          <w:tblLayout w:type="fixed"/>
          <w:tblCellMar>
            <w:top w:w="0" w:type="dxa"/>
            <w:left w:w="0" w:type="dxa"/>
            <w:bottom w:w="0" w:type="dxa"/>
            <w:right w:w="0" w:type="dxa"/>
          </w:tblCellMar>
        </w:tblPrEx>
        <w:trPr>
          <w:trHeight w:val="99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对违法的建筑物、构筑物、设施等需要强制拆除的,应当予以公告,限期当事人自行拆除。当事人在法定期限内不申请行政复议或者提起行政诉讼,又不拆除的,可依法强制拆除。 </w:t>
            </w:r>
          </w:p>
        </w:tc>
      </w:tr>
      <w:tr>
        <w:tblPrEx>
          <w:tblLayout w:type="fixed"/>
          <w:tblCellMar>
            <w:top w:w="0" w:type="dxa"/>
            <w:left w:w="0" w:type="dxa"/>
            <w:bottom w:w="0" w:type="dxa"/>
            <w:right w:w="0" w:type="dxa"/>
          </w:tblCellMar>
        </w:tblPrEx>
        <w:trPr>
          <w:trHeight w:val="108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划拨的存款、汇款以及拍卖和依法处理所得的款项应当上缴国库或者划入财政专户,不得以任何形式截留、私分或者变相私分。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建立健全事后监管制度,依法履行监督责任。 </w:t>
            </w:r>
          </w:p>
        </w:tc>
      </w:tr>
      <w:tr>
        <w:tblPrEx>
          <w:tblLayout w:type="fixed"/>
          <w:tblCellMar>
            <w:top w:w="0" w:type="dxa"/>
            <w:left w:w="0" w:type="dxa"/>
            <w:bottom w:w="0" w:type="dxa"/>
            <w:right w:w="0" w:type="dxa"/>
          </w:tblCellMar>
        </w:tblPrEx>
        <w:trPr>
          <w:trHeight w:val="66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、行政给付行政职权运行通用责任清单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10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(一)受理</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对符合受理条件的,应当受理,并制作受理通知书;对不符合受理条件的不予受理,并书面告知申请人不予受理的理由和依据。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申请材料不齐全或者不符合法定形式的,应当一次性告知申请人需要补正的全部内容和合理的补正期限。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(二)审查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在法定期限(承诺期限)内完成审查。 </w:t>
            </w:r>
          </w:p>
        </w:tc>
      </w:tr>
      <w:tr>
        <w:tblPrEx>
          <w:tblLayout w:type="fixed"/>
          <w:tblCellMar>
            <w:top w:w="0" w:type="dxa"/>
            <w:left w:w="0" w:type="dxa"/>
            <w:bottom w:w="0" w:type="dxa"/>
            <w:right w:w="0" w:type="dxa"/>
          </w:tblCellMar>
        </w:tblPrEx>
        <w:trPr>
          <w:trHeight w:val="81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(三)决定</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对于符合条件的,作出给于给付的决定,明确给付标准以及后续办事事宜,并通知申请人前来领取。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对不符合给付条件的,书面告知申请人不予给付的理由和依据。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(四)给付</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按照</w:t>
            </w:r>
            <w:r>
              <w:rPr>
                <w:rFonts w:hint="eastAsia" w:ascii="宋体" w:hAnsi="宋体" w:eastAsia="宋体" w:cs="宋体"/>
                <w:color w:val="000000"/>
                <w:kern w:val="0"/>
                <w:sz w:val="24"/>
                <w:szCs w:val="24"/>
              </w:rPr>
              <w:t>规定标准</w:t>
            </w:r>
            <w:r>
              <w:rPr>
                <w:rFonts w:hint="eastAsia" w:ascii="宋体" w:hAnsi="宋体" w:eastAsia="宋体" w:cs="宋体"/>
                <w:kern w:val="0"/>
                <w:sz w:val="24"/>
                <w:szCs w:val="24"/>
              </w:rPr>
              <w:t xml:space="preserve">予以给付。 </w:t>
            </w:r>
          </w:p>
        </w:tc>
      </w:tr>
      <w:tr>
        <w:tblPrEx>
          <w:tblLayout w:type="fixed"/>
          <w:tblCellMar>
            <w:top w:w="0" w:type="dxa"/>
            <w:left w:w="0" w:type="dxa"/>
            <w:bottom w:w="0" w:type="dxa"/>
            <w:right w:w="0" w:type="dxa"/>
          </w:tblCellMar>
        </w:tblPrEx>
        <w:trPr>
          <w:trHeight w:val="64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(五)事后监管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开展检查,加强日常监管。 </w:t>
            </w:r>
          </w:p>
        </w:tc>
      </w:tr>
      <w:tr>
        <w:tblPrEx>
          <w:tblLayout w:type="fixed"/>
          <w:tblCellMar>
            <w:top w:w="0" w:type="dxa"/>
            <w:left w:w="0" w:type="dxa"/>
            <w:bottom w:w="0" w:type="dxa"/>
            <w:right w:w="0" w:type="dxa"/>
          </w:tblCellMar>
        </w:tblPrEx>
        <w:trPr>
          <w:trHeight w:val="720" w:hRule="atLeast"/>
          <w:tblCellSpacing w:w="0" w:type="dxa"/>
        </w:trPr>
        <w:tc>
          <w:tcPr>
            <w:tcW w:w="8546" w:type="dxa"/>
            <w:gridSpan w:val="3"/>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、行政检查类行政职权运行通用责任清单</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0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序号</w:t>
            </w:r>
            <w:r>
              <w:rPr>
                <w:rFonts w:hint="eastAsia" w:ascii="宋体" w:hAnsi="宋体" w:eastAsia="宋体" w:cs="宋体"/>
                <w:kern w:val="0"/>
                <w:sz w:val="24"/>
                <w:szCs w:val="24"/>
              </w:rPr>
              <w:t xml:space="preserve">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运行环节</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4"/>
                <w:szCs w:val="24"/>
              </w:rPr>
            </w:pPr>
            <w:r>
              <w:rPr>
                <w:rFonts w:hint="eastAsia" w:ascii="宋体" w:hAnsi="宋体" w:eastAsia="宋体" w:cs="宋体"/>
                <w:b/>
                <w:bCs/>
                <w:kern w:val="0"/>
                <w:sz w:val="24"/>
                <w:szCs w:val="24"/>
              </w:rPr>
              <w:t>责任事项</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(一)制定方案</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实施检查前应当依法制定含有正当理由、事项和内容的检查方案。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2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同一行政机关的多个内设机构和下属机构对同一当事人不同事项的行政检查,能够合并检查的应当合并检查。 </w:t>
            </w:r>
          </w:p>
        </w:tc>
      </w:tr>
      <w:tr>
        <w:tblPrEx>
          <w:tblLayout w:type="fixed"/>
          <w:tblCellMar>
            <w:top w:w="0" w:type="dxa"/>
            <w:left w:w="0" w:type="dxa"/>
            <w:bottom w:w="0" w:type="dxa"/>
            <w:right w:w="0" w:type="dxa"/>
          </w:tblCellMar>
        </w:tblPrEx>
        <w:trPr>
          <w:trHeight w:val="7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3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上下级行政机关应当按照级别管辖和地域管辖相结合的原则合理划分检查范围,避免重复检查。 </w:t>
            </w:r>
          </w:p>
        </w:tc>
      </w:tr>
      <w:tr>
        <w:tblPrEx>
          <w:tblLayout w:type="fixed"/>
          <w:tblCellMar>
            <w:top w:w="0" w:type="dxa"/>
            <w:left w:w="0" w:type="dxa"/>
            <w:bottom w:w="0" w:type="dxa"/>
            <w:right w:w="0" w:type="dxa"/>
          </w:tblCellMar>
        </w:tblPrEx>
        <w:trPr>
          <w:trHeight w:val="43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4 </w:t>
            </w:r>
          </w:p>
        </w:tc>
        <w:tc>
          <w:tcPr>
            <w:tcW w:w="1818" w:type="dxa"/>
            <w:vMerge w:val="restart"/>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(二)实施检查</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依照检查方案规定的时限、范围开展检查。 </w:t>
            </w:r>
          </w:p>
        </w:tc>
      </w:tr>
      <w:tr>
        <w:tblPrEx>
          <w:tblLayout w:type="fixed"/>
          <w:tblCellMar>
            <w:top w:w="0" w:type="dxa"/>
            <w:left w:w="0" w:type="dxa"/>
            <w:bottom w:w="0" w:type="dxa"/>
            <w:right w:w="0" w:type="dxa"/>
          </w:tblCellMar>
        </w:tblPrEx>
        <w:trPr>
          <w:trHeight w:val="4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5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实施检查时应当出示执法身份证件、检查方案。 </w:t>
            </w:r>
          </w:p>
        </w:tc>
      </w:tr>
      <w:tr>
        <w:tblPrEx>
          <w:tblLayout w:type="fixed"/>
          <w:tblCellMar>
            <w:top w:w="0" w:type="dxa"/>
            <w:left w:w="0" w:type="dxa"/>
            <w:bottom w:w="0" w:type="dxa"/>
            <w:right w:w="0" w:type="dxa"/>
          </w:tblCellMar>
        </w:tblPrEx>
        <w:trPr>
          <w:trHeight w:val="52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6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依法查阅资料、查看现场、听取当事人陈述申辩并取证。 </w:t>
            </w:r>
          </w:p>
        </w:tc>
      </w:tr>
      <w:tr>
        <w:tblPrEx>
          <w:tblLayout w:type="fixed"/>
          <w:tblCellMar>
            <w:top w:w="0" w:type="dxa"/>
            <w:left w:w="0" w:type="dxa"/>
            <w:bottom w:w="0" w:type="dxa"/>
            <w:right w:w="0" w:type="dxa"/>
          </w:tblCellMar>
        </w:tblPrEx>
        <w:trPr>
          <w:trHeight w:val="46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7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实施检查应当不影响当事人的正常生产经营活动与生活。 </w:t>
            </w:r>
          </w:p>
        </w:tc>
      </w:tr>
      <w:tr>
        <w:tblPrEx>
          <w:tblLayout w:type="fixed"/>
          <w:tblCellMar>
            <w:top w:w="0" w:type="dxa"/>
            <w:left w:w="0" w:type="dxa"/>
            <w:bottom w:w="0" w:type="dxa"/>
            <w:right w:w="0" w:type="dxa"/>
          </w:tblCellMar>
        </w:tblPrEx>
        <w:trPr>
          <w:trHeight w:val="75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8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依法告知当事人检查中发现的违法行为及处理意见,对不服处理意见的,可以依法申请行政复议或提起行政诉讼。 </w:t>
            </w:r>
          </w:p>
        </w:tc>
      </w:tr>
      <w:tr>
        <w:tblPrEx>
          <w:tblLayout w:type="fixed"/>
          <w:tblCellMar>
            <w:top w:w="0" w:type="dxa"/>
            <w:left w:w="0" w:type="dxa"/>
            <w:bottom w:w="0" w:type="dxa"/>
            <w:right w:w="0" w:type="dxa"/>
          </w:tblCellMar>
        </w:tblPrEx>
        <w:trPr>
          <w:trHeight w:val="37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9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color w:val="000000"/>
                <w:kern w:val="0"/>
                <w:sz w:val="24"/>
                <w:szCs w:val="24"/>
              </w:rPr>
              <w:t>      对检查中发现的违法行为应当予以制止和纠正。</w:t>
            </w:r>
            <w:r>
              <w:rPr>
                <w:rFonts w:hint="eastAsia" w:ascii="宋体" w:hAnsi="宋体" w:eastAsia="宋体" w:cs="宋体"/>
                <w:kern w:val="0"/>
                <w:sz w:val="24"/>
                <w:szCs w:val="24"/>
              </w:rPr>
              <w:t xml:space="preserve"> </w:t>
            </w:r>
          </w:p>
        </w:tc>
      </w:tr>
      <w:tr>
        <w:tblPrEx>
          <w:tblLayout w:type="fixed"/>
          <w:tblCellMar>
            <w:top w:w="0" w:type="dxa"/>
            <w:left w:w="0" w:type="dxa"/>
            <w:bottom w:w="0" w:type="dxa"/>
            <w:right w:w="0" w:type="dxa"/>
          </w:tblCellMar>
        </w:tblPrEx>
        <w:trPr>
          <w:trHeight w:val="60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10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实施行政检查中不得乱收费、乱罚款、乱摊派,严禁吃、拿、卡、要。 </w:t>
            </w:r>
          </w:p>
        </w:tc>
      </w:tr>
      <w:tr>
        <w:tblPrEx>
          <w:tblLayout w:type="fixed"/>
          <w:tblCellMar>
            <w:top w:w="0" w:type="dxa"/>
            <w:left w:w="0" w:type="dxa"/>
            <w:bottom w:w="0" w:type="dxa"/>
            <w:right w:w="0" w:type="dxa"/>
          </w:tblCellMar>
        </w:tblPrEx>
        <w:trPr>
          <w:trHeight w:val="420"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noWrap/>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11 </w:t>
            </w:r>
          </w:p>
        </w:tc>
        <w:tc>
          <w:tcPr>
            <w:tcW w:w="1818" w:type="dxa"/>
            <w:vMerge w:val="continue"/>
            <w:tcBorders>
              <w:top w:val="nil"/>
              <w:left w:val="single" w:color="000000" w:sz="6" w:space="0"/>
              <w:bottom w:val="single" w:color="000000" w:sz="6" w:space="0"/>
              <w:right w:val="single" w:color="000000" w:sz="6" w:space="0"/>
            </w:tcBorders>
            <w:vAlign w:val="center"/>
          </w:tcPr>
          <w:p>
            <w:pPr>
              <w:widowControl/>
              <w:jc w:val="left"/>
              <w:rPr>
                <w:rFonts w:ascii="宋体" w:hAnsi="宋体" w:eastAsia="宋体" w:cs="宋体"/>
                <w:kern w:val="0"/>
                <w:sz w:val="24"/>
                <w:szCs w:val="24"/>
              </w:rPr>
            </w:pP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不得放弃、推诿、拖延、拒绝履行检查职责。 </w:t>
            </w:r>
          </w:p>
        </w:tc>
      </w:tr>
      <w:tr>
        <w:tblPrEx>
          <w:tblLayout w:type="fixed"/>
          <w:tblCellMar>
            <w:top w:w="0" w:type="dxa"/>
            <w:left w:w="0" w:type="dxa"/>
            <w:bottom w:w="0" w:type="dxa"/>
            <w:right w:w="0" w:type="dxa"/>
          </w:tblCellMar>
        </w:tblPrEx>
        <w:trPr>
          <w:trHeight w:val="795" w:hRule="atLeast"/>
          <w:tblCellSpacing w:w="0" w:type="dxa"/>
        </w:trPr>
        <w:tc>
          <w:tcPr>
            <w:tcW w:w="758"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12 </w:t>
            </w:r>
          </w:p>
        </w:tc>
        <w:tc>
          <w:tcPr>
            <w:tcW w:w="1818"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b/>
                <w:bCs/>
                <w:kern w:val="0"/>
                <w:sz w:val="24"/>
                <w:szCs w:val="24"/>
              </w:rPr>
              <w:t>(三)事后监管</w:t>
            </w:r>
            <w:r>
              <w:rPr>
                <w:rFonts w:hint="eastAsia" w:ascii="宋体" w:hAnsi="宋体" w:eastAsia="宋体" w:cs="宋体"/>
                <w:kern w:val="0"/>
                <w:sz w:val="24"/>
                <w:szCs w:val="24"/>
              </w:rPr>
              <w:t xml:space="preserve"> </w:t>
            </w:r>
          </w:p>
        </w:tc>
        <w:tc>
          <w:tcPr>
            <w:tcW w:w="5970"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hint="eastAsia" w:ascii="宋体" w:hAnsi="宋体" w:eastAsia="宋体" w:cs="宋体"/>
                <w:kern w:val="0"/>
                <w:sz w:val="24"/>
                <w:szCs w:val="24"/>
              </w:rPr>
            </w:pPr>
            <w:r>
              <w:rPr>
                <w:rFonts w:hint="eastAsia" w:ascii="宋体" w:hAnsi="宋体" w:eastAsia="宋体" w:cs="宋体"/>
                <w:kern w:val="0"/>
                <w:sz w:val="24"/>
                <w:szCs w:val="24"/>
              </w:rPr>
              <w:t xml:space="preserve">      对检查情况进行汇总、分类、归档备查,并跟踪监测。 </w:t>
            </w:r>
          </w:p>
        </w:tc>
      </w:tr>
    </w:tbl>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A1"/>
    <w:rsid w:val="001361A1"/>
    <w:rsid w:val="006566C4"/>
    <w:rsid w:val="006D7686"/>
    <w:rsid w:val="2FBE4591"/>
    <w:rsid w:val="53625B4E"/>
    <w:rsid w:val="7FCE7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character" w:styleId="4">
    <w:name w:val="Strong"/>
    <w:basedOn w:val="3"/>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4539</Words>
  <Characters>4568</Characters>
  <Lines>43</Lines>
  <Paragraphs>12</Paragraphs>
  <TotalTime>11</TotalTime>
  <ScaleCrop>false</ScaleCrop>
  <LinksUpToDate>false</LinksUpToDate>
  <CharactersWithSpaces>5593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2017-09-01T09:16:00Z</dcterms:created>
  <dc:creator>wangpeng</dc:creator>
  <cp:lastModifiedBy>沾沾自喜</cp:lastModifiedBy>
  <dcterms:modified xsi:type="dcterms:W3CDTF">2023-10-17T02:13:40Z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7543CA6C976A476B972E6E3580E6CC2F</vt:lpwstr>
  </property>
</Properties>
</file>