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bdr w:val="none" w:color="auto" w:sz="0" w:space="0"/>
        </w:rPr>
        <w:t>对违法从事种子生产经营活动的场所、违法生产经营的种子，以及用于违法生产经营的工具、设备及运输工具等的查封、扣押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bdr w:val="none" w:color="auto" w:sz="0" w:space="0"/>
          <w:lang w:eastAsia="zh-CN"/>
        </w:rPr>
        <w:t>流程图</w:t>
      </w:r>
    </w:p>
    <w:bookmarkEnd w:id="0"/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1.报告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实施查封、扣押前向行政机关负责人报告并经批准。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2.执行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行政机关决定实施查封、扣押的，按照程序规定，制作并当场交付查封、扣押决定书和清单。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3.调查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行政机关应当及时查清事实，收集制作保留证据材料。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68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4.作出处理决定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A3A36"/>
          <w:spacing w:val="0"/>
          <w:sz w:val="32"/>
          <w:szCs w:val="32"/>
          <w:bdr w:val="none" w:color="auto" w:sz="0" w:space="0"/>
        </w:rPr>
        <w:t>根据案件事实作出处理决定。</w:t>
      </w: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4113517F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193</Characters>
  <Lines>0</Lines>
  <Paragraphs>0</Paragraphs>
  <TotalTime>4</TotalTime>
  <ScaleCrop>false</ScaleCrop>
  <LinksUpToDate>false</LinksUpToDate>
  <CharactersWithSpaces>194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5E8AF40014B84F85AA327D393BD48D2C</vt:lpwstr>
  </property>
</Properties>
</file>