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83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080"/>
        <w:gridCol w:w="2391"/>
        <w:gridCol w:w="3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职权名称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对绿化工程质量的监督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职权类型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行政检查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依据名称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北京市绿化条例</w:t>
            </w:r>
          </w:p>
        </w:tc>
        <w:tc>
          <w:tcPr>
            <w:tcW w:w="239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建设工程质量管理条例</w:t>
            </w:r>
          </w:p>
        </w:tc>
        <w:tc>
          <w:tcPr>
            <w:tcW w:w="378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北京市建设工程质量条例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60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发布号令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北京市人民代表大会常务委员会公告第7号（已由北京市第十三届人民代表大会常务委员会第十四次会议于2009年11月20日通过，自2010年3月1日起施行。）</w:t>
            </w:r>
          </w:p>
        </w:tc>
        <w:tc>
          <w:tcPr>
            <w:tcW w:w="239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中华人民共和国国务院令第279号（经2000年1月10日国务院第25次常务会议通过，2000年1月30日发布起施行。）</w:t>
            </w:r>
          </w:p>
        </w:tc>
        <w:tc>
          <w:tcPr>
            <w:tcW w:w="378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北京市第十四届人民代表大会常务委员会公告第14号(北京市第十四届人民代表大会常务委员会第二十一次会议于2015年9月25日通过,现予公布,自2016年1月1日起施行。)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行使层级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市级,区级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权限划分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分条件办理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权限划分说明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市局负责全市范围的园林绿化工程监督检查；各区局负责所管辖区内的园林绿化工程监督检查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是否是本部门权力事项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2017年至今工作量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实施机关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密云区园林绿化局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办理科室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工程质量服务中心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受理方式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受理地点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流程图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申报材料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审查内容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园林绿化工程行为质量监督、实体质量监督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审查标准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相关法律法规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批准形式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有效时限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办理时限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收费依据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收费标准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监督方式</w:t>
            </w:r>
          </w:p>
        </w:tc>
        <w:tc>
          <w:tcPr>
            <w:tcW w:w="7251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现场检查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251" w:type="dxa"/>
            <w:gridSpan w:val="3"/>
            <w:vAlign w:val="bottom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bookmarkEnd w:id="0"/>
    </w:tbl>
    <w:p>
      <w:pPr>
        <w:widowControl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图片 19" o:spid="_x0000_s1026" type="#_x0000_t75" style="height:600.45pt;width:337.8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r>
        <w:rPr>
          <w:rFonts w:hint="eastAsia"/>
          <w:b/>
          <w:sz w:val="28"/>
          <w:szCs w:val="28"/>
        </w:rPr>
        <w:t>监管方式：</w:t>
      </w:r>
      <w:r>
        <w:rPr>
          <w:rFonts w:hint="eastAsia" w:ascii="仿宋_GB2312" w:hAnsi="宋体" w:cs="宋体"/>
          <w:kern w:val="0"/>
          <w:sz w:val="24"/>
        </w:rPr>
        <w:t>建立健全事后监管制度，依法履行监督责任。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A672D"/>
    <w:rsid w:val="004231DD"/>
    <w:rsid w:val="004901B3"/>
    <w:rsid w:val="00571BDB"/>
    <w:rsid w:val="00E97B8B"/>
    <w:rsid w:val="00FA672D"/>
    <w:rsid w:val="00FC7611"/>
    <w:rsid w:val="02D47FC5"/>
    <w:rsid w:val="040E6A48"/>
    <w:rsid w:val="0E331658"/>
    <w:rsid w:val="0EE5237F"/>
    <w:rsid w:val="2D734420"/>
    <w:rsid w:val="362B456E"/>
    <w:rsid w:val="47874069"/>
    <w:rsid w:val="5C3D1C65"/>
    <w:rsid w:val="5FF24674"/>
    <w:rsid w:val="61201863"/>
    <w:rsid w:val="69E64DFC"/>
    <w:rsid w:val="736D38C8"/>
    <w:rsid w:val="73E0372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sz w:val="18"/>
      <w:szCs w:val="18"/>
    </w:r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91</Words>
  <Characters>525</Characters>
  <Lines>4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2016-06-03T00:54:00Z</dcterms:created>
  <dc:creator>dcd01</dc:creator>
  <cp:lastModifiedBy>高娜</cp:lastModifiedBy>
  <dcterms:modified xsi:type="dcterms:W3CDTF">2020-12-16T07:01:40Z</dcterms:modified>
  <dc:title>名称：对退耕还林土地承包经营权人以及生态移民的生活补助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