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仿宋_GB2312" w:hAnsi="Arial" w:eastAsia="方正小标宋简体" w:cs="Arial"/>
          <w:color w:val="000000"/>
          <w:sz w:val="32"/>
          <w:szCs w:val="32"/>
        </w:rPr>
      </w:pPr>
      <w:bookmarkStart w:id="1" w:name="_GoBack"/>
      <w:bookmarkEnd w:id="1"/>
      <w:r>
        <w:rPr>
          <w:rFonts w:hint="eastAsia" w:ascii="方正小标宋简体" w:hAnsi="方正小标宋简体" w:eastAsia="方正小标宋简体" w:cs="方正小标宋简体"/>
          <w:sz w:val="44"/>
          <w:szCs w:val="44"/>
        </w:rPr>
        <w:t>北京市统计行政处罚裁量基准</w:t>
      </w:r>
    </w:p>
    <w:p>
      <w:pPr>
        <w:keepNext w:val="0"/>
        <w:keepLines w:val="0"/>
        <w:pageBreakBefore w:val="0"/>
        <w:kinsoku/>
        <w:wordWrap/>
        <w:overflowPunct/>
        <w:topLinePunct w:val="0"/>
        <w:autoSpaceDE/>
        <w:autoSpaceDN/>
        <w:bidi w:val="0"/>
        <w:spacing w:line="540" w:lineRule="exact"/>
        <w:textAlignment w:val="auto"/>
        <w:rPr>
          <w:rFonts w:hint="eastAsia" w:ascii="方正小标宋_GBK" w:hAnsi="方正小标宋_GBK" w:eastAsia="方正小标宋_GBK" w:cs="方正小标宋_GBK"/>
          <w:sz w:val="44"/>
          <w:szCs w:val="44"/>
        </w:rPr>
      </w:pPr>
    </w:p>
    <w:p>
      <w:pPr>
        <w:pStyle w:val="18"/>
        <w:keepNext w:val="0"/>
        <w:keepLines w:val="0"/>
        <w:pageBreakBefore w:val="0"/>
        <w:kinsoku/>
        <w:wordWrap/>
        <w:overflowPunct/>
        <w:topLinePunct w:val="0"/>
        <w:autoSpaceDE/>
        <w:autoSpaceDN/>
        <w:bidi w:val="0"/>
        <w:spacing w:line="540" w:lineRule="exact"/>
        <w:ind w:firstLine="0" w:firstLineChars="0"/>
        <w:jc w:val="center"/>
        <w:textAlignment w:val="auto"/>
        <w:rPr>
          <w:rFonts w:hint="eastAsia" w:ascii="黑体" w:hAnsi="黑体" w:eastAsia="黑体"/>
          <w:sz w:val="32"/>
          <w:szCs w:val="32"/>
        </w:rPr>
      </w:pPr>
      <w:r>
        <w:rPr>
          <w:rFonts w:hint="eastAsia" w:ascii="黑体" w:hAnsi="黑体" w:eastAsia="黑体"/>
          <w:sz w:val="32"/>
          <w:szCs w:val="32"/>
        </w:rPr>
        <w:t>第一章  总  则</w:t>
      </w:r>
    </w:p>
    <w:p>
      <w:pPr>
        <w:pStyle w:val="18"/>
        <w:keepNext w:val="0"/>
        <w:keepLines w:val="0"/>
        <w:pageBreakBefore w:val="0"/>
        <w:kinsoku/>
        <w:wordWrap/>
        <w:overflowPunct/>
        <w:topLinePunct w:val="0"/>
        <w:autoSpaceDE/>
        <w:autoSpaceDN/>
        <w:bidi w:val="0"/>
        <w:spacing w:line="540" w:lineRule="exact"/>
        <w:ind w:left="1080" w:firstLine="0" w:firstLine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b/>
          <w:sz w:val="32"/>
          <w:szCs w:val="32"/>
        </w:rPr>
        <w:t xml:space="preserve"> </w:t>
      </w:r>
      <w:r>
        <w:rPr>
          <w:rFonts w:hint="eastAsia" w:ascii="仿宋_GB2312" w:eastAsia="仿宋_GB2312"/>
          <w:sz w:val="32"/>
          <w:szCs w:val="32"/>
        </w:rPr>
        <w:t>为依法履行统计行政执法职责，规范对统计违法行为行政处罚的自由裁量权，根据</w:t>
      </w:r>
      <w:r>
        <w:rPr>
          <w:rFonts w:hint="eastAsia" w:ascii="仿宋_GB2312" w:hAnsi="宋体" w:eastAsia="仿宋_GB2312"/>
          <w:sz w:val="32"/>
          <w:szCs w:val="32"/>
        </w:rPr>
        <w:t>《中华人民共和国行政处罚法》</w:t>
      </w:r>
      <w:r>
        <w:rPr>
          <w:rFonts w:hint="eastAsia" w:ascii="仿宋_GB2312" w:eastAsia="仿宋_GB2312"/>
          <w:sz w:val="32"/>
          <w:szCs w:val="32"/>
        </w:rPr>
        <w:t>《中华人民共和国统计法》（以下简称《统计法》）及相关法律法规规章，制定本裁量基准。</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本裁量基准适用于</w:t>
      </w:r>
      <w:r>
        <w:rPr>
          <w:rFonts w:hint="eastAsia" w:ascii="仿宋_GB2312" w:eastAsia="仿宋_GB2312"/>
          <w:color w:val="000000"/>
          <w:sz w:val="32"/>
          <w:szCs w:val="32"/>
        </w:rPr>
        <w:t>市和区统计局、</w:t>
      </w:r>
      <w:r>
        <w:rPr>
          <w:rFonts w:hint="eastAsia" w:ascii="仿宋_GB2312" w:hAnsi="仿宋_GB2312" w:eastAsia="仿宋_GB2312" w:cs="仿宋_GB2312"/>
          <w:color w:val="222222"/>
          <w:sz w:val="32"/>
          <w:szCs w:val="32"/>
          <w:shd w:val="clear" w:color="auto" w:fill="FFFFFF"/>
        </w:rPr>
        <w:t>北京地区国家调查队系统各级调查队</w:t>
      </w:r>
      <w:r>
        <w:rPr>
          <w:rFonts w:hint="eastAsia" w:ascii="仿宋_GB2312" w:hAnsi="仿宋_GB2312" w:eastAsia="仿宋_GB2312" w:cs="仿宋_GB2312"/>
          <w:color w:val="222222"/>
          <w:sz w:val="32"/>
          <w:szCs w:val="32"/>
          <w:shd w:val="clear" w:color="auto" w:fill="FFFFFF"/>
          <w:lang w:eastAsia="zh-CN"/>
        </w:rPr>
        <w:t>（以下简称统计机构）</w:t>
      </w:r>
      <w:r>
        <w:rPr>
          <w:rFonts w:hint="eastAsia" w:ascii="仿宋_GB2312" w:eastAsia="仿宋_GB2312"/>
          <w:color w:val="000000"/>
          <w:sz w:val="32"/>
          <w:szCs w:val="32"/>
        </w:rPr>
        <w:t>依照法定职责实施的对统计</w:t>
      </w:r>
      <w:r>
        <w:rPr>
          <w:rFonts w:hint="eastAsia" w:ascii="仿宋_GB2312" w:eastAsia="仿宋_GB2312"/>
          <w:sz w:val="32"/>
          <w:szCs w:val="32"/>
        </w:rPr>
        <w:t>违法行为行政处罚的裁量。</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 xml:space="preserve"> 本裁量基准中各类违法行为依据违法事实及相关法律法规，按性质、情节以及危害后果划定为A、B、C三个基础裁量档次。其中，违法行为性质、情节、危害后果严重的对应A档，一般的对应B档，轻微的对应C档。</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统计机构行使行政处罚自由裁量权，应当遵循下列原则：</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（一）合法裁量原则。根据统计违法事实、性质、情节、危害性等相关因素，在法律</w:t>
      </w:r>
      <w:r>
        <w:rPr>
          <w:rFonts w:hint="eastAsia" w:ascii="仿宋_GB2312" w:eastAsia="仿宋_GB2312"/>
          <w:sz w:val="32"/>
          <w:szCs w:val="32"/>
          <w:lang w:eastAsia="zh-CN"/>
        </w:rPr>
        <w:t>、</w:t>
      </w:r>
      <w:r>
        <w:rPr>
          <w:rFonts w:hint="eastAsia" w:ascii="仿宋_GB2312" w:eastAsia="仿宋_GB2312"/>
          <w:sz w:val="32"/>
          <w:szCs w:val="32"/>
        </w:rPr>
        <w:t>法规、规章规定的行政处罚种类和幅度内实施相应的行政处罚。</w:t>
      </w:r>
    </w:p>
    <w:p>
      <w:pPr>
        <w:keepNext w:val="0"/>
        <w:keepLines w:val="0"/>
        <w:pageBreakBefore w:val="0"/>
        <w:kinsoku/>
        <w:wordWrap/>
        <w:overflowPunct/>
        <w:topLinePunct w:val="0"/>
        <w:autoSpaceDE/>
        <w:autoSpaceDN/>
        <w:bidi w:val="0"/>
        <w:spacing w:line="540" w:lineRule="exact"/>
        <w:ind w:firstLine="648"/>
        <w:textAlignment w:val="auto"/>
        <w:rPr>
          <w:rFonts w:hint="eastAsia" w:ascii="仿宋_GB2312" w:eastAsia="仿宋_GB2312"/>
          <w:sz w:val="32"/>
          <w:szCs w:val="32"/>
        </w:rPr>
      </w:pPr>
      <w:r>
        <w:rPr>
          <w:rFonts w:hint="eastAsia" w:ascii="仿宋_GB2312" w:eastAsia="仿宋_GB2312"/>
          <w:sz w:val="32"/>
          <w:szCs w:val="32"/>
        </w:rPr>
        <w:t>（二）合理裁量原则。统计行政处罚裁量权的行使应当公正、客观、适当。</w:t>
      </w:r>
    </w:p>
    <w:p>
      <w:pPr>
        <w:keepNext w:val="0"/>
        <w:keepLines w:val="0"/>
        <w:pageBreakBefore w:val="0"/>
        <w:kinsoku/>
        <w:wordWrap/>
        <w:overflowPunct/>
        <w:topLinePunct w:val="0"/>
        <w:autoSpaceDE/>
        <w:autoSpaceDN/>
        <w:bidi w:val="0"/>
        <w:spacing w:line="540" w:lineRule="exact"/>
        <w:ind w:firstLine="648"/>
        <w:textAlignment w:val="auto"/>
        <w:rPr>
          <w:rFonts w:hint="eastAsia" w:ascii="仿宋_GB2312" w:eastAsia="仿宋_GB2312"/>
          <w:sz w:val="32"/>
          <w:szCs w:val="32"/>
        </w:rPr>
      </w:pPr>
      <w:r>
        <w:rPr>
          <w:rFonts w:hint="eastAsia" w:ascii="仿宋_GB2312" w:eastAsia="仿宋_GB2312"/>
          <w:sz w:val="32"/>
          <w:szCs w:val="32"/>
        </w:rPr>
        <w:t>（三）综合裁量原则。综合考量统计违法行为的事实、性质、情节、危害性等因素，结合经济社会发展实际界定违法程度，作出行政处罚决定。</w:t>
      </w:r>
    </w:p>
    <w:p>
      <w:pPr>
        <w:keepNext w:val="0"/>
        <w:keepLines w:val="0"/>
        <w:pageBreakBefore w:val="0"/>
        <w:kinsoku/>
        <w:wordWrap/>
        <w:overflowPunct/>
        <w:topLinePunct w:val="0"/>
        <w:autoSpaceDE/>
        <w:autoSpaceDN/>
        <w:bidi w:val="0"/>
        <w:spacing w:line="540" w:lineRule="exact"/>
        <w:ind w:firstLine="648"/>
        <w:textAlignment w:val="auto"/>
        <w:rPr>
          <w:rFonts w:hint="eastAsia" w:ascii="仿宋_GB2312" w:eastAsia="仿宋_GB2312"/>
          <w:sz w:val="32"/>
          <w:szCs w:val="32"/>
        </w:rPr>
      </w:pPr>
      <w:r>
        <w:rPr>
          <w:rFonts w:hint="eastAsia" w:ascii="仿宋_GB2312" w:eastAsia="仿宋_GB2312"/>
          <w:sz w:val="32"/>
          <w:szCs w:val="32"/>
        </w:rPr>
        <w:t>（四）教育与处罚相结合原则。以纠正违法行为为首要目标，既要严格执法，维护法律尊严和权威，又要教育行政管理相对人自觉守法，增强法治意识。</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统计机构行使行政处罚自由裁量权，应当遵循下列步骤：</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（一）结合统计违法行为的事实、性质、情节和危害性等因素，界定违法行为的违法程度，根据不同处罚对象、不同违法行为，初步确定适用的统计行政处罚种类和幅度。</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（二）根据相关法律、法规和规章的规定，参照</w:t>
      </w:r>
      <w:r>
        <w:rPr>
          <w:rFonts w:hint="eastAsia" w:ascii="仿宋_GB2312" w:eastAsia="仿宋_GB2312"/>
          <w:sz w:val="32"/>
          <w:szCs w:val="32"/>
          <w:lang w:eastAsia="zh-CN"/>
        </w:rPr>
        <w:t>本</w:t>
      </w:r>
      <w:r>
        <w:rPr>
          <w:rFonts w:hint="eastAsia" w:ascii="仿宋_GB2312" w:eastAsia="仿宋_GB2312"/>
          <w:sz w:val="32"/>
          <w:szCs w:val="32"/>
        </w:rPr>
        <w:t>裁量基准，综合考量统计违法行为是否具有从重、从轻、减轻以及不予行政处罚的情形。</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（三）根据相关法律、法规和规章的规定，参照本裁量基准决定是否对统计违法行为予以处罚，予以何种处罚，以及何种幅度的处罚。</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p>
    <w:p>
      <w:pPr>
        <w:pStyle w:val="18"/>
        <w:keepNext w:val="0"/>
        <w:keepLines w:val="0"/>
        <w:pageBreakBefore w:val="0"/>
        <w:kinsoku/>
        <w:wordWrap/>
        <w:overflowPunct/>
        <w:topLinePunct w:val="0"/>
        <w:autoSpaceDE/>
        <w:autoSpaceDN/>
        <w:bidi w:val="0"/>
        <w:spacing w:line="540" w:lineRule="exact"/>
        <w:ind w:firstLine="0" w:firstLineChars="0"/>
        <w:jc w:val="center"/>
        <w:textAlignment w:val="auto"/>
        <w:rPr>
          <w:rFonts w:hint="eastAsia" w:ascii="黑体" w:eastAsia="黑体"/>
          <w:sz w:val="32"/>
          <w:szCs w:val="32"/>
        </w:rPr>
      </w:pPr>
      <w:r>
        <w:rPr>
          <w:rFonts w:hint="eastAsia" w:ascii="黑体" w:eastAsia="黑体"/>
          <w:sz w:val="32"/>
          <w:szCs w:val="32"/>
        </w:rPr>
        <w:t>第二章  违法行为裁量档次</w:t>
      </w:r>
    </w:p>
    <w:p>
      <w:pPr>
        <w:pStyle w:val="18"/>
        <w:keepNext w:val="0"/>
        <w:keepLines w:val="0"/>
        <w:pageBreakBefore w:val="0"/>
        <w:kinsoku/>
        <w:wordWrap/>
        <w:overflowPunct/>
        <w:topLinePunct w:val="0"/>
        <w:autoSpaceDE/>
        <w:autoSpaceDN/>
        <w:bidi w:val="0"/>
        <w:spacing w:line="540" w:lineRule="exact"/>
        <w:ind w:firstLine="0" w:firstLineChars="0"/>
        <w:jc w:val="center"/>
        <w:textAlignment w:val="auto"/>
        <w:rPr>
          <w:rFonts w:hint="eastAsia" w:ascii="黑体" w:eastAsia="黑体"/>
          <w:sz w:val="32"/>
          <w:szCs w:val="32"/>
        </w:rPr>
      </w:pPr>
    </w:p>
    <w:p>
      <w:pPr>
        <w:keepNext w:val="0"/>
        <w:keepLines w:val="0"/>
        <w:pageBreakBefore w:val="0"/>
        <w:kinsoku/>
        <w:wordWrap/>
        <w:overflowPunct/>
        <w:topLinePunct w:val="0"/>
        <w:autoSpaceDE/>
        <w:autoSpaceDN/>
        <w:bidi w:val="0"/>
        <w:spacing w:line="540" w:lineRule="exact"/>
        <w:jc w:val="center"/>
        <w:textAlignment w:val="auto"/>
        <w:rPr>
          <w:rFonts w:hint="eastAsia" w:ascii="黑体" w:hAnsi="黑体" w:eastAsia="黑体"/>
          <w:sz w:val="32"/>
          <w:szCs w:val="32"/>
        </w:rPr>
      </w:pPr>
      <w:r>
        <w:rPr>
          <w:rFonts w:hint="eastAsia" w:ascii="黑体" w:hAnsi="黑体" w:eastAsia="黑体"/>
          <w:sz w:val="32"/>
          <w:szCs w:val="32"/>
        </w:rPr>
        <w:t>第一节  违反《统计法》有关条款的裁量</w:t>
      </w:r>
    </w:p>
    <w:p>
      <w:pPr>
        <w:keepNext w:val="0"/>
        <w:keepLines w:val="0"/>
        <w:pageBreakBefore w:val="0"/>
        <w:kinsoku/>
        <w:wordWrap/>
        <w:overflowPunct/>
        <w:topLinePunct w:val="0"/>
        <w:autoSpaceDE/>
        <w:autoSpaceDN/>
        <w:bidi w:val="0"/>
        <w:spacing w:line="540" w:lineRule="exact"/>
        <w:textAlignment w:val="auto"/>
        <w:rPr>
          <w:rFonts w:hint="eastAsia" w:ascii="仿宋_GB2312" w:hAnsi="Calibri" w:eastAsia="仿宋_GB2312"/>
          <w:sz w:val="32"/>
          <w:szCs w:val="32"/>
        </w:rPr>
      </w:pPr>
    </w:p>
    <w:p>
      <w:pPr>
        <w:pStyle w:val="8"/>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Times New Roman"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企业事业单位或者其他组织违反《统计法》第二十一条第一款的规定，</w:t>
      </w:r>
      <w:r>
        <w:rPr>
          <w:rFonts w:hint="eastAsia" w:ascii="仿宋_GB2312" w:hAnsi="Times New Roman" w:eastAsia="仿宋_GB2312"/>
          <w:sz w:val="32"/>
          <w:szCs w:val="32"/>
        </w:rPr>
        <w:t>未设置原始记录、统计台账的，其中：</w:t>
      </w:r>
    </w:p>
    <w:p>
      <w:pPr>
        <w:pStyle w:val="8"/>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Times New Roman" w:eastAsia="仿宋_GB2312"/>
          <w:sz w:val="32"/>
          <w:szCs w:val="32"/>
        </w:rPr>
      </w:pPr>
      <w:r>
        <w:rPr>
          <w:rFonts w:hint="eastAsia" w:ascii="仿宋_GB2312" w:eastAsia="仿宋_GB2312"/>
          <w:sz w:val="32"/>
          <w:szCs w:val="32"/>
        </w:rPr>
        <w:t>（一）单项原始记录、统计台账未设置的，</w:t>
      </w:r>
      <w:r>
        <w:rPr>
          <w:rFonts w:hint="eastAsia" w:ascii="仿宋_GB2312" w:hAnsi="Times New Roman" w:eastAsia="仿宋_GB2312"/>
          <w:sz w:val="32"/>
          <w:szCs w:val="32"/>
        </w:rPr>
        <w:t>属于基础裁量C档，依据</w:t>
      </w:r>
      <w:r>
        <w:rPr>
          <w:rFonts w:hint="eastAsia" w:ascii="仿宋_GB2312" w:eastAsia="仿宋_GB2312"/>
          <w:sz w:val="32"/>
          <w:szCs w:val="32"/>
        </w:rPr>
        <w:t>《统计法》第四十二条第一款、第二款</w:t>
      </w:r>
      <w:r>
        <w:rPr>
          <w:rFonts w:hint="eastAsia" w:ascii="仿宋_GB2312" w:hAnsi="Times New Roman" w:eastAsia="仿宋_GB2312"/>
          <w:sz w:val="32"/>
          <w:szCs w:val="32"/>
        </w:rPr>
        <w:t>的规定，裁量幅度为“警告”或者“警告并处2000元以下罚款”。</w:t>
      </w:r>
    </w:p>
    <w:p>
      <w:pPr>
        <w:pStyle w:val="8"/>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（二）两项以上原始记录、统计台账未设置的，属于基础裁量B档，依据</w:t>
      </w:r>
      <w:r>
        <w:rPr>
          <w:rFonts w:hint="eastAsia" w:ascii="仿宋_GB2312" w:eastAsia="仿宋_GB2312"/>
          <w:sz w:val="32"/>
          <w:szCs w:val="32"/>
        </w:rPr>
        <w:t>《统计法》第四十二条第一款、第二款</w:t>
      </w:r>
      <w:r>
        <w:rPr>
          <w:rFonts w:hint="eastAsia" w:ascii="仿宋_GB2312" w:hAnsi="Times New Roman" w:eastAsia="仿宋_GB2312"/>
          <w:sz w:val="32"/>
          <w:szCs w:val="32"/>
        </w:rPr>
        <w:t>的规定，裁量幅度为“警告并处2000元以上5000元以下罚款”。</w:t>
      </w:r>
    </w:p>
    <w:p>
      <w:pPr>
        <w:pStyle w:val="8"/>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（三）未设置原始记录、统计台账，两年内曾被责令改正，但仍未改正的，属于基础裁量A档，依据</w:t>
      </w:r>
      <w:r>
        <w:rPr>
          <w:rFonts w:hint="eastAsia" w:ascii="仿宋_GB2312" w:eastAsia="仿宋_GB2312"/>
          <w:sz w:val="32"/>
          <w:szCs w:val="32"/>
        </w:rPr>
        <w:t>《统计法》第四十二条第一款、第二款</w:t>
      </w:r>
      <w:r>
        <w:rPr>
          <w:rFonts w:hint="eastAsia" w:ascii="仿宋_GB2312" w:hAnsi="Times New Roman" w:eastAsia="仿宋_GB2312"/>
          <w:sz w:val="32"/>
          <w:szCs w:val="32"/>
        </w:rPr>
        <w:t>的规定，裁量幅度为“警告并处5000元以上1万元以下罚款”。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生产经营、能源和水消费、劳动工资、投资等</w:t>
      </w:r>
      <w:r>
        <w:rPr>
          <w:rFonts w:hint="eastAsia" w:ascii="仿宋_GB2312" w:eastAsia="仿宋_GB2312"/>
          <w:kern w:val="0"/>
          <w:sz w:val="32"/>
          <w:szCs w:val="32"/>
          <w:lang w:eastAsia="zh-CN"/>
        </w:rPr>
        <w:t>原始记录或</w:t>
      </w:r>
      <w:r>
        <w:rPr>
          <w:rFonts w:hint="eastAsia" w:ascii="仿宋_GB2312" w:eastAsia="仿宋_GB2312"/>
          <w:kern w:val="0"/>
          <w:sz w:val="32"/>
          <w:szCs w:val="32"/>
        </w:rPr>
        <w:t>统计</w:t>
      </w:r>
      <w:r>
        <w:rPr>
          <w:rFonts w:hint="eastAsia" w:ascii="仿宋_GB2312" w:eastAsia="仿宋_GB2312"/>
          <w:kern w:val="0"/>
          <w:sz w:val="32"/>
          <w:szCs w:val="32"/>
          <w:lang w:eastAsia="zh-CN"/>
        </w:rPr>
        <w:t>台账</w:t>
      </w:r>
      <w:r>
        <w:rPr>
          <w:rFonts w:hint="eastAsia" w:ascii="仿宋_GB2312" w:eastAsia="仿宋_GB2312"/>
          <w:kern w:val="0"/>
          <w:sz w:val="32"/>
          <w:szCs w:val="32"/>
        </w:rPr>
        <w:t>各视为一项。</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 xml:space="preserve"> 企业事业单位或者其他组织、个体工商户违反《统计法》第七条和统计调查制度规定，迟报统计资料的，其中：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连续两个自然年度内首次发生的，属于基础裁量C档，依据《统计法》第四十二条的规定，裁量幅度为：对企业事业单位或者其他组织给予“警告”或者“警告并处2000元以下罚款”；对个体工商户给予“警告”或者“警告并处200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连续两个自然年度内再次发生的，属于基础裁量B档，依据《统计法》第四十二条的规定，裁量幅度为：对企业事业单位或者其他组织给予“警告并处2000元以上5000元以下罚款”；对个体工商户给予“警告并处200元以上500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连续两个自然年度内发生三次以上的，属于基础裁量A档，依据《统计法》第四十二条的规定，裁量幅度为：对企业事业单位或者其他组织给予“警告并处5000元以上1万元以下罚款”；对个体工商户给予“警告并处500元以上1000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企业事业单位或者其他组织、个体工商户违反《统计法》第七条的规定，拒绝提供统计资料或者经催报后仍未按催报规定的时限提供的，其中：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拒绝提供统计资料或者超过催报规定时限仍未提供的，属于基础裁量B档，依据《统计法》第四十一条第一款第（一）项和第四十一条第二款、第三款的规定，裁量幅度为：对企业事业单位或者其他组织给予“警告并可以处5万元以下罚款”；对个体经营户给予“警告并可以处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拒绝提供统计资料或者超过催报规定时限仍未提供，情节严重的，属于基础裁量A档，依据《统计法》第四十一条第一款第（一）项和第四十一条第二款的规定，裁量幅度为：对企业事业单位或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企业事业单位或者其他组织、个体工商户违反《统计法》第七条的规定，提供不真实或者不完整统计资料的，其中：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差错数额达到适用普通程序的统计行政处罚标准、差错率在30%以下的，属于基础裁量C档，依据《统计法》第四十一条第一款第（二）项和第四十一条第二款、第三款的规定，裁量幅度为：对企业事业单位或者其他组织给予“警告”或者“警告并处1万元以下罚款”；对个体工商户给予“警告”或者“警告并处1000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差错数额达到适用普通程序的统计行政处罚标准、差错率超过30%的，属于基础裁量B档，依据《统计法》第四十一条第一款第（二）项和第四十一条第二款、第三款的规定，裁量幅度为：对企业事业单位或者其他组织给予“警告并处1万元以上5万元以下罚款”；对个体工商户给予“警告并处1000元以上1万元以下罚款”。综合考虑差错率、差错数额、违法情节等因素进一步划分为：对企业事业单位或者其他组织给予“警告并处1万元以上2万元以下罚款”“警告并处2万元以上3万元以下罚款”“警告并处3万元以上5万元以下罚款”；对个体工商户给予“警告并处1000元以上3000元以下罚款”“警告并处3000元以上5000元以下罚款”“警告并处5000元以上1万元以下罚款”三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w:t>
      </w:r>
      <w:bookmarkStart w:id="0" w:name="OLE_LINK1"/>
      <w:r>
        <w:rPr>
          <w:rFonts w:hint="eastAsia" w:ascii="仿宋_GB2312" w:eastAsia="仿宋_GB2312"/>
          <w:sz w:val="32"/>
          <w:szCs w:val="32"/>
        </w:rPr>
        <w:t>差错数额达到适用普通程序的统计行政处罚标准、差错率超过60%且具备其他严重情节的</w:t>
      </w:r>
      <w:bookmarkEnd w:id="0"/>
      <w:r>
        <w:rPr>
          <w:rFonts w:hint="eastAsia" w:ascii="仿宋_GB2312" w:eastAsia="仿宋_GB2312"/>
          <w:sz w:val="32"/>
          <w:szCs w:val="32"/>
        </w:rPr>
        <w:t>，属于基础裁量A档，依据《统计法》第四十一条第一款第（二）项和第四十一条第二款的规定，裁量幅度为：对企业事业单位或者其他组织给予“警告并处5万元以上20万元以下罚款”，综合考虑差错率、差错数额、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企业事业单位或者其他组织、个体工商户违反《统计法》第三十六条的规定，拒绝答复或者不如实答复统计检查查询书的，其中：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FF0000"/>
          <w:sz w:val="32"/>
          <w:szCs w:val="32"/>
        </w:rPr>
      </w:pPr>
      <w:r>
        <w:rPr>
          <w:rFonts w:hint="eastAsia" w:ascii="仿宋_GB2312" w:eastAsia="仿宋_GB2312"/>
          <w:sz w:val="32"/>
          <w:szCs w:val="32"/>
        </w:rPr>
        <w:t>（一）不如实答复统计检查查询书的，属于基础裁量C档，依据《统计法》第四十一条第一款第（三）项和第四十一条第二款、第三款的规定，裁量幅度为：对企业事业单位或者其他组织给予“警告”或者“警告并处2万元以下罚款”；对个体工商户给予“警告”或者“警告并处2000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拒绝答复统计检查查询书的，属于基础裁量B档，依据《统计法》第四十一条第一款第（三）项和第四十一条第二款、第三款的规定，裁量幅度为：对企业事业单位或者其他组织给予“警告并处2万元以上5万元以下罚款”；对个体工商户给予“警告并处2000元以上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拒绝答复或者不如实答复统计检查查询书,情节严重的，属于基础裁量A档，依据《统计法》第四十一条第一款第（三）项和第四十一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企业事业单位或者其他组织、个体工商户违反《统计法》第七条、第三十六条的规定，拒绝、阻碍统计调查、统计</w:t>
      </w:r>
      <w:r>
        <w:rPr>
          <w:rFonts w:hint="eastAsia" w:ascii="仿宋_GB2312" w:eastAsia="仿宋_GB2312"/>
          <w:sz w:val="32"/>
          <w:szCs w:val="32"/>
          <w:lang w:eastAsia="zh-CN"/>
        </w:rPr>
        <w:t>监督</w:t>
      </w:r>
      <w:r>
        <w:rPr>
          <w:rFonts w:hint="eastAsia" w:ascii="仿宋_GB2312" w:eastAsia="仿宋_GB2312"/>
          <w:sz w:val="32"/>
          <w:szCs w:val="32"/>
        </w:rPr>
        <w:t>检查的，其中：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（一）阻碍统计调查、统计</w:t>
      </w:r>
      <w:r>
        <w:rPr>
          <w:rFonts w:hint="eastAsia" w:ascii="仿宋_GB2312" w:eastAsia="仿宋_GB2312"/>
          <w:sz w:val="32"/>
          <w:szCs w:val="32"/>
          <w:lang w:eastAsia="zh-CN"/>
        </w:rPr>
        <w:t>监督</w:t>
      </w:r>
      <w:r>
        <w:rPr>
          <w:rFonts w:hint="eastAsia" w:ascii="仿宋_GB2312" w:eastAsia="仿宋_GB2312"/>
          <w:sz w:val="32"/>
          <w:szCs w:val="32"/>
        </w:rPr>
        <w:t>检查的，属于基础裁量C档，依据《统计法》第四十一条第一款第（四）项和第四十一条第二款、第三款的规定，裁量幅度为：对企业事业单位或者其他组织给予“警告”或者“警告并处2万元以下罚款”；对个体工商户给予“警告”或者“警告并处2000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（二）拒绝统计调查、统计</w:t>
      </w:r>
      <w:r>
        <w:rPr>
          <w:rFonts w:hint="eastAsia" w:ascii="仿宋_GB2312" w:eastAsia="仿宋_GB2312"/>
          <w:sz w:val="32"/>
          <w:szCs w:val="32"/>
          <w:lang w:eastAsia="zh-CN"/>
        </w:rPr>
        <w:t>监督</w:t>
      </w:r>
      <w:r>
        <w:rPr>
          <w:rFonts w:hint="eastAsia" w:ascii="仿宋_GB2312" w:eastAsia="仿宋_GB2312"/>
          <w:sz w:val="32"/>
          <w:szCs w:val="32"/>
        </w:rPr>
        <w:t>检查的，属于基础裁量B档，依据《统计法》第四十一条第一款第（四）项和第四十一条第二款、第三款的规定，裁量幅度为：对企业事业单位或者其他组织给予“警告并处 2万元以上5万元以下罚款”；对个体工商户给予“警告并处2000元以上1万元以下罚款”。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（三）拒绝、阻碍统计调查、统计</w:t>
      </w:r>
      <w:r>
        <w:rPr>
          <w:rFonts w:hint="eastAsia" w:ascii="仿宋_GB2312" w:eastAsia="仿宋_GB2312"/>
          <w:sz w:val="32"/>
          <w:szCs w:val="32"/>
          <w:lang w:eastAsia="zh-CN"/>
        </w:rPr>
        <w:t>监督</w:t>
      </w:r>
      <w:r>
        <w:rPr>
          <w:rFonts w:hint="eastAsia" w:ascii="仿宋_GB2312" w:eastAsia="仿宋_GB2312"/>
          <w:sz w:val="32"/>
          <w:szCs w:val="32"/>
        </w:rPr>
        <w:t>检查，情节严重的，属于基础裁量A档，依据《统计法》第四十一条第一款第（四）项和第四十一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企业事业单位或者其他组织、个体工商户违反《统计法》第三十六条的规定，转移、隐匿、篡改、毁弃或者拒绝提供原始记录和凭证、统计台账、统计调查表及其他相关证明和资料的，其中：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转移、隐匿、篡改、毁弃或者拒绝提供原始记录和凭证、统计台账、统计调查表及其他相关证明和资料，未对查清事实造成直接影响的，属于基础裁量C档，依据《统计法》第四十一条第一款第（五）项和第四十一条第二款、第三款的规定，裁量幅度为：对企业事业单位或者其他组织给予“警告”或者“警告并处2万元以下罚款”；对个体工商户给予“警告”或者“警告并处2000元以下罚款”。</w:t>
      </w:r>
    </w:p>
    <w:p>
      <w:pPr>
        <w:pStyle w:val="8"/>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eastAsia="仿宋_GB2312"/>
          <w:sz w:val="32"/>
          <w:szCs w:val="32"/>
        </w:rPr>
      </w:pPr>
      <w:r>
        <w:rPr>
          <w:rFonts w:hint="eastAsia" w:ascii="仿宋_GB2312" w:hAnsi="Times New Roman" w:eastAsia="仿宋_GB2312"/>
          <w:sz w:val="32"/>
          <w:szCs w:val="32"/>
        </w:rPr>
        <w:t>（二）转移、隐匿、篡改、毁弃或者拒绝提供原始记录和凭证、统计台账、统计调查表及其他相关证明和资料，对查清事实造成直接影响的，</w:t>
      </w:r>
      <w:r>
        <w:rPr>
          <w:rFonts w:hint="eastAsia" w:ascii="仿宋_GB2312" w:eastAsia="仿宋_GB2312"/>
          <w:sz w:val="32"/>
          <w:szCs w:val="32"/>
        </w:rPr>
        <w:t>属于基础裁量B档，依据《统计法》第四十一条第一款第（五）项和第四十一条第二款、第三款的规定，裁量幅度为：对企业事业单位或者其他组织给予“警告并处2万元以上5万元以下罚款”；对个体工商户给予“警告并处2000元以上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转移、隐匿、篡改、毁弃或者拒绝提供原始记录和凭证、统计台账、统计调查表及其他相关证明和资料，情节严重的，属于基础裁量A档，依据《统计法》第四十一条第一款第（五）项和第四十一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spacing w:line="540" w:lineRule="exact"/>
        <w:jc w:val="center"/>
        <w:textAlignment w:val="auto"/>
        <w:rPr>
          <w:rFonts w:hint="eastAsia" w:ascii="黑体" w:hAnsi="黑体" w:eastAsia="黑体"/>
          <w:sz w:val="32"/>
          <w:szCs w:val="32"/>
        </w:rPr>
      </w:pPr>
      <w:r>
        <w:rPr>
          <w:rFonts w:hint="eastAsia" w:ascii="黑体" w:hAnsi="黑体" w:eastAsia="黑体"/>
          <w:sz w:val="32"/>
          <w:szCs w:val="32"/>
        </w:rPr>
        <w:t>第二节  违反《全国经济普查条例》有关条款的裁量</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Calibri" w:eastAsia="仿宋_GB2312"/>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企业事业单位或者其他组织、个体经营户违反《全国经济普查条例》第九条第一款、第二款的规定，拒绝或者妨碍接受经济普查机构、经济普查人员依法进行的调查的，其中：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妨碍接受经济普查机构、经济普查人员依法进行调查的，属于基础裁量C档，依据《全国经济普查条例》第三十六条第一款第（一）项和第三十六条第二款、第三款的规定，裁量幅度为：对企业事业单位或者其他组织给予“警告”或者“警告并处2万元以下罚款”；对个体经营户给予“警告”或者“警告并处2000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拒绝接受经济普查机构、经济普查人员依法进行调查的，属于基础裁量B档，依据《全国经济普查条例》第三十六条第一款第（一）项和第三十六条第二款、第三款的规定，裁量幅度为：对企业事业单位或者其他组织给予“警告并处2万元以上5万元以下罚款”；对个体经营户给予“警告并处2000元以上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拒绝或者妨碍接受经济普查机构、经济普查人员依法进行的调查，情节严重的，属于基础裁量A档，依据《全国经济普查条例》第三十六条第一款第（一）项和第三十六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企业事业单位或者其他组织、个体经营户违反《全国经济普查条例》第九条第二款的规定，提供虚假或者不完整经济普查资料的，其中：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差错数额达到适用普通程序的统计行政处罚标准、差错率在30%以下的，属于基础裁量C档，依据《全国经济普查条例》第三十六条第一款第（二）项和第三十六条第二款、第三款的规定，裁量幅度为：对企业事业单位或者其他组织给予“警告”或者“警告并处1万元以下罚款”；对个体经营户给予“警告”或者“警告并处1000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差错数额达到适用普通程序的统计行政处罚标准、差错率超过30%的，属于基础裁量B档，依据《全国经济普查条例》第三十六条第一款第（二）项和第三十六条第二款、第三款的规定，裁量幅度为：对企业事业单位或者其他组织给予“警告并处1万元以上5万元以下罚款”；对个体经营户给予“警告并处1000元以上1万元以下罚款”。综合考虑差错率、差错数额、违法情节等因素进一步划分为：对企业事业单位或者其他组织给予“警告并处1万元以上2万元以下罚款”“警告并处2万元以上3万元以下罚款”“警告并处3万元以上5万元以下罚款”；对个体经营户给予“警告并处1000元以上3000元以下罚款”“警告并处3000元以上5000元以下罚款”“警告并处5000元以上1万元以下罚款”三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差错数额达到适用普通程序的统计行政处罚标准、差错率超过60%且具备其他严重情节的，属于基础裁量A档，依据《全国经济普查条例》第三十六条第一款第（二）项和第三十六条第二款的规定，裁量幅度为：对企业事业单位或者其他组织给予“警告并处5万元以上20万元以下罚款”，综合考虑差错率、差错数额、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企业事业单位或者其他组织、个体经营户违反《全国经济普查条例》第九条第二款的规定，未按时提供与经济普查有关的资料，经催报后仍未提供的，其中：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超过催报规定的时限仍未提供，影响普查工作正常开展，造成不良影响的，属于基础裁量B档，依据《全国经济普查条例》第三十六条第一款第（三）项和第三十六条第二款、第三款的规定，裁量幅度为：对企业事业单位或者其他组织给予“警告并可以处5万元以下罚款”；对个体经营户给予“警告并可以处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超过催报规定的时限仍未提供，情节严重的，属于基础裁量A档，依据《全国经济普查条例》第三十六条第一款第（三）项和第三十六条第二款的规定，裁量幅度为：对企业事业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p>
    <w:p>
      <w:pPr>
        <w:pStyle w:val="8"/>
        <w:keepNext w:val="0"/>
        <w:keepLines w:val="0"/>
        <w:pageBreakBefore w:val="0"/>
        <w:kinsoku/>
        <w:wordWrap/>
        <w:overflowPunct/>
        <w:topLinePunct w:val="0"/>
        <w:autoSpaceDE/>
        <w:autoSpaceDN/>
        <w:bidi w:val="0"/>
        <w:spacing w:before="0" w:beforeAutospacing="0" w:after="0" w:afterAutospacing="0" w:line="520" w:lineRule="exact"/>
        <w:jc w:val="center"/>
        <w:textAlignment w:val="auto"/>
        <w:rPr>
          <w:rFonts w:hint="eastAsia" w:ascii="黑体" w:eastAsia="黑体"/>
          <w:sz w:val="32"/>
          <w:szCs w:val="32"/>
        </w:rPr>
      </w:pPr>
      <w:r>
        <w:rPr>
          <w:rFonts w:hint="eastAsia" w:ascii="黑体" w:eastAsia="黑体"/>
          <w:sz w:val="32"/>
          <w:szCs w:val="32"/>
        </w:rPr>
        <w:t>第三章  基本裁量规则</w:t>
      </w:r>
    </w:p>
    <w:p>
      <w:pPr>
        <w:pStyle w:val="8"/>
        <w:keepNext w:val="0"/>
        <w:keepLines w:val="0"/>
        <w:pageBreakBefore w:val="0"/>
        <w:kinsoku/>
        <w:wordWrap/>
        <w:overflowPunct/>
        <w:topLinePunct w:val="0"/>
        <w:autoSpaceDE/>
        <w:autoSpaceDN/>
        <w:bidi w:val="0"/>
        <w:adjustRightInd w:val="0"/>
        <w:spacing w:before="0" w:beforeAutospacing="0" w:after="0" w:afterAutospacing="0" w:line="520" w:lineRule="exact"/>
        <w:ind w:firstLine="640" w:firstLineChars="200"/>
        <w:jc w:val="both"/>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pacing w:line="520" w:lineRule="exact"/>
        <w:ind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本裁量基准所指的情节严重行为，依据《中华人民共和国统计法实施条例》第五十条</w:t>
      </w:r>
      <w:r>
        <w:rPr>
          <w:rFonts w:hint="eastAsia" w:ascii="仿宋_GB2312" w:hAnsi="仿宋_GB2312" w:eastAsia="仿宋_GB2312" w:cs="仿宋_GB2312"/>
          <w:sz w:val="32"/>
          <w:szCs w:val="32"/>
          <w:lang w:eastAsia="zh-CN"/>
        </w:rPr>
        <w:t>等规</w:t>
      </w:r>
      <w:r>
        <w:rPr>
          <w:rFonts w:hint="eastAsia" w:ascii="仿宋_GB2312" w:hAnsi="仿宋_GB2312" w:eastAsia="仿宋_GB2312" w:cs="仿宋_GB2312"/>
          <w:sz w:val="32"/>
          <w:szCs w:val="32"/>
        </w:rPr>
        <w:t>定，包括以下情形：</w:t>
      </w:r>
    </w:p>
    <w:p>
      <w:pPr>
        <w:keepNext w:val="0"/>
        <w:keepLines w:val="0"/>
        <w:pageBreakBefore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（一）使用暴力或者威胁方法拒绝、阻碍统计调查、统计监督检查；</w:t>
      </w:r>
    </w:p>
    <w:p>
      <w:pPr>
        <w:keepNext w:val="0"/>
        <w:keepLines w:val="0"/>
        <w:pageBreakBefore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（二）拒绝、阻碍统计调查、统计监督检查，严重影响相关工作正常开展；</w:t>
      </w:r>
    </w:p>
    <w:p>
      <w:pPr>
        <w:keepNext w:val="0"/>
        <w:keepLines w:val="0"/>
        <w:pageBreakBefore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（三）提供不真实、不完整的统计资料，造成严重后果或者恶劣影响；</w:t>
      </w:r>
    </w:p>
    <w:p>
      <w:pPr>
        <w:keepNext w:val="0"/>
        <w:keepLines w:val="0"/>
        <w:pageBreakBefore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（四）提供不真实、不完整的统计资料，存在主观故意且导致主要经济指标差错率在60%以上；</w:t>
      </w:r>
      <w:r>
        <w:rPr>
          <w:rFonts w:hint="eastAsia" w:ascii="仿宋_GB2312" w:hAnsi="仿宋_GB2312" w:eastAsia="仿宋_GB2312" w:cs="仿宋_GB2312"/>
          <w:kern w:val="0"/>
          <w:sz w:val="32"/>
          <w:szCs w:val="32"/>
          <w:lang w:eastAsia="zh-CN"/>
        </w:rPr>
        <w:t>或者主要经济指标违法数额巨大的；</w:t>
      </w:r>
    </w:p>
    <w:p>
      <w:pPr>
        <w:keepNext w:val="0"/>
        <w:keepLines w:val="0"/>
        <w:pageBreakBefore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统计法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第四十一条第一款所列违法行为之一，1年内被责令改正3次以上。</w:t>
      </w:r>
    </w:p>
    <w:p>
      <w:pPr>
        <w:keepNext w:val="0"/>
        <w:keepLines w:val="0"/>
        <w:pageBreakBefore w:val="0"/>
        <w:widowControl/>
        <w:kinsoku/>
        <w:wordWrap/>
        <w:overflowPunct/>
        <w:topLinePunct w:val="0"/>
        <w:autoSpaceDE/>
        <w:autoSpaceDN/>
        <w:bidi w:val="0"/>
        <w:adjustRightInd w:val="0"/>
        <w:spacing w:line="520" w:lineRule="exact"/>
        <w:ind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本裁量基准所称的提供不真实或者不完整统计资料、虚假或者不完整经济普查资料的差错数额，是指依据统计调查制度确定的应报数额与实际上报数额之差的绝对值；差错率是指差错数额占应报数额绝对值的比率，在差错数额大于零、应报数额等于零时，差错率计为100%。</w:t>
      </w:r>
    </w:p>
    <w:p>
      <w:pPr>
        <w:keepNext w:val="0"/>
        <w:keepLines w:val="0"/>
        <w:pageBreakBefore w:val="0"/>
        <w:widowControl/>
        <w:kinsoku/>
        <w:wordWrap/>
        <w:overflowPunct/>
        <w:topLinePunct w:val="0"/>
        <w:autoSpaceDE/>
        <w:autoSpaceDN/>
        <w:bidi w:val="0"/>
        <w:adjustRightInd w:val="0"/>
        <w:spacing w:line="52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单一检查对象的单次检查中，有两项以上指标出现差错，视差错数额、差错率具体情况进行裁量。如有主要经济指标出现差错，以此指标差错率为准进行裁量，如无主要经济指标出现差错，综合考虑差错数额和差错率，选取裁量档次较高的指标进行裁量。</w:t>
      </w:r>
    </w:p>
    <w:p>
      <w:pPr>
        <w:keepNext w:val="0"/>
        <w:keepLines w:val="0"/>
        <w:pageBreakBefore w:val="0"/>
        <w:widowControl/>
        <w:kinsoku/>
        <w:wordWrap/>
        <w:overflowPunct/>
        <w:topLinePunct w:val="0"/>
        <w:autoSpaceDE/>
        <w:autoSpaceDN/>
        <w:bidi w:val="0"/>
        <w:adjustRightInd w:val="0"/>
        <w:spacing w:line="520" w:lineRule="exact"/>
        <w:ind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有下列情形之一的，不予行政处罚：</w:t>
      </w:r>
    </w:p>
    <w:p>
      <w:pPr>
        <w:keepNext w:val="0"/>
        <w:keepLines w:val="0"/>
        <w:pageBreakBefore w:val="0"/>
        <w:widowControl/>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（一）统计违法行为轻微并及时改正，没有造成危害后果的；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（二）统计违法行为二年内未被发现的；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（三）由于政府统计机构或者相关部门等统计调查项目组织实施者的原因导致发生统计违法行为的；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（四）对于提供不真实或者不完整统计资料、虚假或者不完整经济普查资料的违法行为，差错数额未达到适用简易程序统计行政处罚标准的；</w:t>
      </w:r>
    </w:p>
    <w:p>
      <w:pPr>
        <w:keepNext w:val="0"/>
        <w:keepLines w:val="0"/>
        <w:pageBreakBefore w:val="0"/>
        <w:widowControl/>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（五）当事人有证据足以证明没有主观过错的。法律、行政法规另有规定的，从其规定。</w:t>
      </w:r>
    </w:p>
    <w:p>
      <w:pPr>
        <w:keepNext w:val="0"/>
        <w:keepLines w:val="0"/>
        <w:pageBreakBefore w:val="0"/>
        <w:widowControl/>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首次</w:t>
      </w:r>
      <w:r>
        <w:rPr>
          <w:rFonts w:hint="eastAsia" w:ascii="仿宋_GB2312" w:hAnsi="仿宋_GB2312" w:eastAsia="仿宋_GB2312" w:cs="仿宋_GB2312"/>
          <w:sz w:val="32"/>
          <w:szCs w:val="32"/>
        </w:rPr>
        <w:t>违法且危害后果轻微并及时改正的，可以不予行政处罚。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对当事人的违法行为依法不予行政处罚的，行政机关应当对当事人进行教育。</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统计违法行为当事人有下列情形之一的，应当依法从轻或者减轻处罚：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（二）受他人胁迫或者诱骗实施统计违法行为的；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（三）主动供述行政机关尚未掌握的违法行为</w:t>
      </w:r>
      <w:r>
        <w:rPr>
          <w:rFonts w:hint="eastAsia" w:ascii="仿宋_GB2312" w:eastAsia="仿宋_GB2312"/>
          <w:sz w:val="32"/>
          <w:szCs w:val="32"/>
        </w:rPr>
        <w:t>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（四）配合行政机关查处违法行为有立功表现的；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（五）法律、法规</w:t>
      </w:r>
      <w:r>
        <w:rPr>
          <w:rFonts w:hint="eastAsia" w:ascii="仿宋_GB2312" w:eastAsia="仿宋_GB2312"/>
          <w:sz w:val="32"/>
          <w:szCs w:val="32"/>
          <w:lang w:eastAsia="zh-CN"/>
        </w:rPr>
        <w:t>和</w:t>
      </w:r>
      <w:r>
        <w:rPr>
          <w:rFonts w:hint="eastAsia" w:ascii="仿宋_GB2312" w:eastAsia="仿宋_GB2312"/>
          <w:sz w:val="32"/>
          <w:szCs w:val="32"/>
        </w:rPr>
        <w:t>规章规定其他应当从轻或者减轻行政处罚的。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b/>
          <w:sz w:val="32"/>
          <w:szCs w:val="32"/>
        </w:rPr>
        <w:t xml:space="preserve">  </w:t>
      </w:r>
      <w:r>
        <w:rPr>
          <w:rFonts w:hint="eastAsia" w:ascii="仿宋_GB2312" w:eastAsia="仿宋_GB2312"/>
          <w:sz w:val="32"/>
          <w:szCs w:val="32"/>
        </w:rPr>
        <w:t>有下列情形之一的，可以从轻或者减轻处罚：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（一）提供不真实或者不完整统计资料、虚假或者不完整经济普查资料差错率较大，差错数额较小的；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（二）单项指标出现差错的；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（三）两项非主要经济指标出现差错的；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（四）在连续两个自然年度内首次发现统计违法行为的；</w:t>
      </w:r>
    </w:p>
    <w:p>
      <w:pPr>
        <w:pStyle w:val="3"/>
        <w:keepNext w:val="0"/>
        <w:keepLines w:val="0"/>
        <w:pageBreakBefore w:val="0"/>
        <w:kinsoku/>
        <w:wordWrap/>
        <w:overflowPunct/>
        <w:topLinePunct w:val="0"/>
        <w:autoSpaceDE/>
        <w:autoSpaceDN/>
        <w:bidi w:val="0"/>
        <w:spacing w:line="520" w:lineRule="exact"/>
        <w:ind w:firstLine="42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（五）及时改正，并作出书面承诺的。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_GB2312" w:eastAsia="仿宋_GB2312"/>
          <w:sz w:val="32"/>
          <w:szCs w:val="32"/>
        </w:rPr>
        <w:t xml:space="preserve">  有下列情形之一的，可以从重处罚：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（一）提供不真实或者不完整统计资料、虚假或者不完整经济普查资料差错率较小，差错数额较大，对所在行政区域该指标汇总数据影响较大的；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（二）三项以上指标出现差错的；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（三）拒绝、阻碍统计调查、统计</w:t>
      </w:r>
      <w:r>
        <w:rPr>
          <w:rFonts w:hint="eastAsia" w:ascii="仿宋_GB2312" w:eastAsia="仿宋_GB2312"/>
          <w:sz w:val="32"/>
          <w:szCs w:val="32"/>
          <w:lang w:eastAsia="zh-CN"/>
        </w:rPr>
        <w:t>监督</w:t>
      </w:r>
      <w:r>
        <w:rPr>
          <w:rFonts w:hint="eastAsia" w:ascii="仿宋_GB2312" w:eastAsia="仿宋_GB2312"/>
          <w:sz w:val="32"/>
          <w:szCs w:val="32"/>
        </w:rPr>
        <w:t>检查，情节恶劣或者造成严重后果的；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（四）在两个自然年度内发现存在统计违法行为的，再次发现统计违法行为的</w:t>
      </w:r>
      <w:r>
        <w:rPr>
          <w:rFonts w:hint="eastAsia" w:ascii="仿宋_GB2312" w:eastAsia="仿宋_GB2312"/>
          <w:sz w:val="32"/>
          <w:szCs w:val="32"/>
          <w:lang w:eastAsia="zh-CN"/>
        </w:rPr>
        <w:t>；</w:t>
      </w:r>
    </w:p>
    <w:p>
      <w:pPr>
        <w:pStyle w:val="3"/>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对单一检查对象的单次检查中，发现存在两种及以上统计违法行为的。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仿宋_GB2312" w:eastAsia="仿宋_GB2312"/>
          <w:color w:val="000000"/>
          <w:sz w:val="32"/>
          <w:szCs w:val="32"/>
        </w:rPr>
        <w:t>　</w:t>
      </w:r>
      <w:r>
        <w:rPr>
          <w:rFonts w:hint="eastAsia" w:ascii="仿宋_GB2312" w:eastAsia="仿宋_GB2312"/>
          <w:sz w:val="32"/>
          <w:szCs w:val="32"/>
        </w:rPr>
        <w:t>本裁量基准所称的从轻处罚是指在基础裁量档次幅度内给予较轻的处罚，从重处罚是指在基础裁量档次幅度内给予较重的处罚。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减轻处罚是指低于基础裁量档次给予的处罚</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eastAsia="仿宋_GB2312"/>
          <w:sz w:val="32"/>
          <w:szCs w:val="32"/>
        </w:rPr>
        <w:t xml:space="preserve">  统计违法事实确凿并有法定依据，情节轻微，拟对公民处以200元以下、对法人或者其他组织处以3000元以下罚款或者警告的行政处罚的，可以适用简易程序，当场作出行政处罚决定。</w:t>
      </w:r>
    </w:p>
    <w:p>
      <w:pPr>
        <w:keepNext w:val="0"/>
        <w:keepLines w:val="0"/>
        <w:pageBreakBefore w:val="0"/>
        <w:kinsoku/>
        <w:wordWrap/>
        <w:overflowPunct/>
        <w:topLinePunct w:val="0"/>
        <w:autoSpaceDE/>
        <w:autoSpaceDN/>
        <w:bidi w:val="0"/>
        <w:spacing w:line="520" w:lineRule="exact"/>
        <w:ind w:firstLine="616"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对于提供不真实或者不完整统计资料、虚假或者不完整经济普查资料的违法行为，差错数额达到适用简易程序的统计行政处罚标准，但未达到适用普通程序的统计行政处罚标准的，可以适用简易程序，当场作出行政处罚决定。</w:t>
      </w:r>
    </w:p>
    <w:p>
      <w:pPr>
        <w:keepNext w:val="0"/>
        <w:keepLines w:val="0"/>
        <w:pageBreakBefore w:val="0"/>
        <w:widowControl/>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主要经济指标差错数额</w:t>
      </w:r>
      <w:r>
        <w:rPr>
          <w:rFonts w:hint="eastAsia" w:ascii="仿宋_GB2312" w:eastAsia="仿宋_GB2312"/>
          <w:sz w:val="32"/>
          <w:szCs w:val="32"/>
          <w:lang w:eastAsia="zh-CN"/>
        </w:rPr>
        <w:t>达到</w:t>
      </w:r>
      <w:r>
        <w:rPr>
          <w:rFonts w:hint="eastAsia" w:ascii="仿宋_GB2312" w:eastAsia="仿宋_GB2312"/>
          <w:sz w:val="32"/>
          <w:szCs w:val="32"/>
        </w:rPr>
        <w:t>200万元</w:t>
      </w:r>
      <w:r>
        <w:rPr>
          <w:rFonts w:hint="eastAsia" w:ascii="仿宋_GB2312" w:eastAsia="仿宋_GB2312"/>
          <w:sz w:val="32"/>
          <w:szCs w:val="32"/>
          <w:lang w:eastAsia="zh-CN"/>
        </w:rPr>
        <w:t>以上不足</w:t>
      </w:r>
      <w:r>
        <w:rPr>
          <w:rFonts w:hint="eastAsia" w:ascii="仿宋_GB2312" w:eastAsia="仿宋_GB2312"/>
          <w:sz w:val="32"/>
          <w:szCs w:val="32"/>
          <w:lang w:val="en-US" w:eastAsia="zh-CN"/>
        </w:rPr>
        <w:t>1000万元的</w:t>
      </w:r>
      <w:r>
        <w:rPr>
          <w:rFonts w:hint="eastAsia" w:ascii="仿宋_GB2312" w:eastAsia="仿宋_GB2312"/>
          <w:sz w:val="32"/>
          <w:szCs w:val="32"/>
        </w:rPr>
        <w:t>，应当适用简易程序进行统计行政处罚，主要经济指标差错数额</w:t>
      </w:r>
      <w:r>
        <w:rPr>
          <w:rFonts w:hint="eastAsia" w:ascii="仿宋_GB2312" w:eastAsia="仿宋_GB2312"/>
          <w:sz w:val="32"/>
          <w:szCs w:val="32"/>
          <w:lang w:eastAsia="zh-CN"/>
        </w:rPr>
        <w:t>达到</w:t>
      </w:r>
      <w:r>
        <w:rPr>
          <w:rFonts w:hint="eastAsia" w:ascii="仿宋_GB2312" w:eastAsia="仿宋_GB2312"/>
          <w:sz w:val="32"/>
          <w:szCs w:val="32"/>
        </w:rPr>
        <w:t>1000万元</w:t>
      </w:r>
      <w:r>
        <w:rPr>
          <w:rFonts w:hint="eastAsia" w:ascii="仿宋_GB2312" w:eastAsia="仿宋_GB2312"/>
          <w:sz w:val="32"/>
          <w:szCs w:val="32"/>
          <w:lang w:eastAsia="zh-CN"/>
        </w:rPr>
        <w:t>以上的</w:t>
      </w:r>
      <w:r>
        <w:rPr>
          <w:rFonts w:hint="eastAsia" w:ascii="仿宋_GB2312" w:eastAsia="仿宋_GB2312"/>
          <w:sz w:val="32"/>
          <w:szCs w:val="32"/>
        </w:rPr>
        <w:t>，应当适用普通程序进行统计行政处罚。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仿宋_GB2312" w:eastAsia="仿宋_GB2312"/>
          <w:b/>
          <w:sz w:val="32"/>
          <w:szCs w:val="32"/>
        </w:rPr>
        <w:t xml:space="preserve">  </w:t>
      </w:r>
      <w:r>
        <w:rPr>
          <w:rFonts w:hint="eastAsia" w:ascii="仿宋_GB2312" w:eastAsia="仿宋_GB2312"/>
          <w:sz w:val="32"/>
          <w:szCs w:val="32"/>
        </w:rPr>
        <w:t>依据《统计执法监督检查办法》第三十五条，在对法人或者其他组织作出5万元以上罚款、对个体工商户作出2000元以上罚款的行政处罚决定前，应当告知处罚对象有要求举行听证的权利，处罚对象要求听证的，作出处罚决定的统计机构应当依法组织听证。</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p>
    <w:p>
      <w:pPr>
        <w:pStyle w:val="8"/>
        <w:keepNext w:val="0"/>
        <w:keepLines w:val="0"/>
        <w:pageBreakBefore w:val="0"/>
        <w:kinsoku/>
        <w:wordWrap/>
        <w:overflowPunct/>
        <w:topLinePunct w:val="0"/>
        <w:autoSpaceDE/>
        <w:autoSpaceDN/>
        <w:bidi w:val="0"/>
        <w:spacing w:before="0" w:beforeAutospacing="0" w:after="0" w:afterAutospacing="0" w:line="520" w:lineRule="exact"/>
        <w:jc w:val="center"/>
        <w:textAlignment w:val="auto"/>
        <w:rPr>
          <w:rFonts w:hint="eastAsia" w:ascii="黑体" w:eastAsia="黑体"/>
          <w:sz w:val="32"/>
          <w:szCs w:val="32"/>
        </w:rPr>
      </w:pPr>
      <w:r>
        <w:rPr>
          <w:rFonts w:hint="eastAsia" w:ascii="黑体" w:eastAsia="黑体"/>
          <w:sz w:val="32"/>
          <w:szCs w:val="32"/>
        </w:rPr>
        <w:t>第四章  附  则</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仿宋_GB2312" w:eastAsia="仿宋_GB2312"/>
          <w:b/>
          <w:sz w:val="32"/>
          <w:szCs w:val="32"/>
        </w:rPr>
        <w:t xml:space="preserve">  </w:t>
      </w:r>
      <w:r>
        <w:rPr>
          <w:rFonts w:hint="eastAsia" w:ascii="仿宋_GB2312" w:eastAsia="仿宋_GB2312"/>
          <w:sz w:val="32"/>
          <w:szCs w:val="32"/>
          <w:lang w:eastAsia="zh-CN"/>
        </w:rPr>
        <w:t>拟</w:t>
      </w:r>
      <w:r>
        <w:rPr>
          <w:rFonts w:hint="eastAsia" w:ascii="仿宋_GB2312" w:hAnsi="Times New Roman" w:eastAsia="仿宋_GB2312" w:cs="Times New Roman"/>
          <w:sz w:val="32"/>
          <w:szCs w:val="32"/>
        </w:rPr>
        <w:t>向任免机关、纪检监察机关、组织（人事）部门提出处分处理建议的案件</w:t>
      </w:r>
      <w:r>
        <w:rPr>
          <w:rFonts w:hint="eastAsia" w:ascii="仿宋_GB2312" w:eastAsia="仿宋_GB2312"/>
          <w:sz w:val="32"/>
          <w:szCs w:val="32"/>
          <w:lang w:eastAsia="zh-CN"/>
        </w:rPr>
        <w:t>，或者</w:t>
      </w:r>
      <w:r>
        <w:rPr>
          <w:rFonts w:hint="eastAsia" w:ascii="仿宋_GB2312" w:hAnsi="Times New Roman" w:eastAsia="仿宋_GB2312" w:cs="Times New Roman"/>
          <w:sz w:val="32"/>
          <w:szCs w:val="32"/>
        </w:rPr>
        <w:t>重大、疑难、复杂</w:t>
      </w:r>
      <w:r>
        <w:rPr>
          <w:rFonts w:hint="eastAsia" w:ascii="仿宋_GB2312" w:eastAsia="仿宋_GB2312"/>
          <w:sz w:val="32"/>
          <w:szCs w:val="32"/>
          <w:lang w:eastAsia="zh-CN"/>
        </w:rPr>
        <w:t>，</w:t>
      </w:r>
      <w:r>
        <w:rPr>
          <w:rFonts w:hint="eastAsia" w:ascii="仿宋_GB2312" w:hAnsi="Times New Roman" w:eastAsia="仿宋_GB2312" w:cs="Times New Roman"/>
          <w:sz w:val="32"/>
          <w:szCs w:val="32"/>
        </w:rPr>
        <w:t>拟作出</w:t>
      </w:r>
      <w:r>
        <w:rPr>
          <w:rFonts w:hint="eastAsia" w:ascii="仿宋_GB2312" w:eastAsia="仿宋_GB2312"/>
          <w:sz w:val="32"/>
          <w:szCs w:val="32"/>
          <w:lang w:eastAsia="zh-CN"/>
        </w:rPr>
        <w:t>较大数额罚款</w:t>
      </w:r>
      <w:r>
        <w:rPr>
          <w:rFonts w:hint="eastAsia" w:ascii="仿宋_GB2312" w:hAnsi="Times New Roman" w:eastAsia="仿宋_GB2312" w:cs="Times New Roman"/>
          <w:sz w:val="32"/>
          <w:szCs w:val="32"/>
        </w:rPr>
        <w:t>的案件，</w:t>
      </w:r>
      <w:r>
        <w:rPr>
          <w:rFonts w:hint="eastAsia" w:ascii="仿宋_GB2312" w:hAnsi="Times New Roman" w:eastAsia="仿宋_GB2312" w:cs="Times New Roman"/>
          <w:sz w:val="32"/>
          <w:szCs w:val="32"/>
          <w:lang w:eastAsia="zh-CN"/>
        </w:rPr>
        <w:t>应当进行法制审核，并由行政机关负责人集体讨论决定。</w:t>
      </w:r>
    </w:p>
    <w:p>
      <w:pPr>
        <w:keepNext w:val="0"/>
        <w:keepLines w:val="0"/>
        <w:pageBreakBefore w:val="0"/>
        <w:kinsoku/>
        <w:wordWrap/>
        <w:overflowPunct/>
        <w:topLinePunct w:val="0"/>
        <w:autoSpaceDE/>
        <w:autoSpaceDN/>
        <w:bidi w:val="0"/>
        <w:spacing w:line="520" w:lineRule="exact"/>
        <w:ind w:firstLine="616" w:firstLineChars="200"/>
        <w:textAlignment w:val="auto"/>
        <w:rPr>
          <w:rFonts w:hint="eastAsia" w:ascii="仿宋_GB2312" w:eastAsia="仿宋_GB2312"/>
          <w:sz w:val="32"/>
          <w:szCs w:val="32"/>
        </w:rPr>
      </w:pPr>
      <w:r>
        <w:rPr>
          <w:rFonts w:hint="eastAsia" w:ascii="黑体" w:hAnsi="黑体" w:eastAsia="黑体"/>
          <w:spacing w:val="-6"/>
          <w:sz w:val="32"/>
          <w:szCs w:val="32"/>
        </w:rPr>
        <w:t>第</w:t>
      </w:r>
      <w:r>
        <w:rPr>
          <w:rFonts w:hint="eastAsia" w:ascii="黑体" w:hAnsi="黑体" w:eastAsia="黑体"/>
          <w:spacing w:val="-6"/>
          <w:sz w:val="32"/>
          <w:szCs w:val="32"/>
          <w:lang w:eastAsia="zh-CN"/>
        </w:rPr>
        <w:t>二</w:t>
      </w:r>
      <w:r>
        <w:rPr>
          <w:rFonts w:hint="eastAsia" w:ascii="黑体" w:hAnsi="黑体" w:eastAsia="黑体"/>
          <w:spacing w:val="-6"/>
          <w:sz w:val="32"/>
          <w:szCs w:val="32"/>
        </w:rPr>
        <w:t>十</w:t>
      </w:r>
      <w:r>
        <w:rPr>
          <w:rFonts w:hint="eastAsia" w:ascii="黑体" w:hAnsi="黑体" w:eastAsia="黑体"/>
          <w:spacing w:val="-6"/>
          <w:sz w:val="32"/>
          <w:szCs w:val="32"/>
          <w:lang w:eastAsia="zh-CN"/>
        </w:rPr>
        <w:t>六</w:t>
      </w:r>
      <w:r>
        <w:rPr>
          <w:rFonts w:hint="eastAsia" w:ascii="黑体" w:hAnsi="黑体" w:eastAsia="黑体"/>
          <w:spacing w:val="-6"/>
          <w:sz w:val="32"/>
          <w:szCs w:val="32"/>
        </w:rPr>
        <w:t>条</w:t>
      </w:r>
      <w:r>
        <w:rPr>
          <w:rFonts w:hint="eastAsia" w:ascii="仿宋_GB2312" w:hAnsi="宋体" w:eastAsia="仿宋_GB2312" w:cs="宋体"/>
          <w:color w:val="000000"/>
          <w:spacing w:val="-6"/>
          <w:kern w:val="0"/>
          <w:sz w:val="32"/>
          <w:szCs w:val="32"/>
        </w:rPr>
        <w:t xml:space="preserve">  </w:t>
      </w:r>
      <w:r>
        <w:rPr>
          <w:rFonts w:hint="eastAsia" w:ascii="仿宋_GB2312" w:hAnsi="宋体" w:eastAsia="仿宋_GB2312" w:cs="宋体"/>
          <w:color w:val="000000"/>
          <w:spacing w:val="-6"/>
          <w:kern w:val="0"/>
          <w:sz w:val="32"/>
          <w:szCs w:val="32"/>
          <w:lang w:eastAsia="zh-CN"/>
        </w:rPr>
        <w:t>北京</w:t>
      </w:r>
      <w:r>
        <w:rPr>
          <w:rFonts w:hint="eastAsia" w:ascii="仿宋_GB2312" w:hAnsi="宋体" w:eastAsia="仿宋_GB2312" w:cs="宋体"/>
          <w:color w:val="000000"/>
          <w:spacing w:val="-6"/>
          <w:kern w:val="0"/>
          <w:sz w:val="32"/>
          <w:szCs w:val="32"/>
        </w:rPr>
        <w:t>市统计局</w:t>
      </w:r>
      <w:r>
        <w:rPr>
          <w:rFonts w:hint="eastAsia" w:ascii="仿宋_GB2312" w:hAnsi="宋体" w:eastAsia="仿宋_GB2312" w:cs="宋体"/>
          <w:color w:val="000000"/>
          <w:spacing w:val="-6"/>
          <w:kern w:val="0"/>
          <w:sz w:val="32"/>
          <w:szCs w:val="32"/>
          <w:lang w:eastAsia="zh-CN"/>
        </w:rPr>
        <w:t>、国家统计局北京调查总队</w:t>
      </w:r>
      <w:r>
        <w:rPr>
          <w:rFonts w:hint="eastAsia" w:ascii="仿宋_GB2312" w:hAnsi="宋体" w:eastAsia="仿宋_GB2312" w:cs="宋体"/>
          <w:color w:val="000000"/>
          <w:spacing w:val="-6"/>
          <w:kern w:val="0"/>
          <w:sz w:val="32"/>
          <w:szCs w:val="32"/>
        </w:rPr>
        <w:t>按年度确定检查指标，并制定相应的</w:t>
      </w:r>
      <w:r>
        <w:rPr>
          <w:rFonts w:hint="eastAsia" w:ascii="仿宋_GB2312" w:eastAsia="仿宋_GB2312"/>
          <w:spacing w:val="-6"/>
          <w:sz w:val="32"/>
          <w:szCs w:val="32"/>
        </w:rPr>
        <w:t>统计行政处罚标准，适用于统计年报、定报和重大国情国力普查中提供不真实或者不完整统计资料违法行为的行政处罚</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十</w:t>
      </w:r>
      <w:r>
        <w:rPr>
          <w:rFonts w:hint="eastAsia" w:ascii="黑体" w:hAnsi="黑体" w:eastAsia="黑体"/>
          <w:sz w:val="32"/>
          <w:szCs w:val="32"/>
          <w:lang w:eastAsia="zh-CN"/>
        </w:rPr>
        <w:t>七</w:t>
      </w:r>
      <w:r>
        <w:rPr>
          <w:rFonts w:hint="eastAsia" w:ascii="黑体" w:hAnsi="黑体" w:eastAsia="黑体"/>
          <w:sz w:val="32"/>
          <w:szCs w:val="32"/>
        </w:rPr>
        <w:t xml:space="preserve">条  </w:t>
      </w:r>
      <w:r>
        <w:rPr>
          <w:rFonts w:hint="eastAsia" w:ascii="仿宋_GB2312" w:eastAsia="仿宋_GB2312"/>
          <w:sz w:val="32"/>
          <w:szCs w:val="32"/>
        </w:rPr>
        <w:t>本裁量基准所称的“以上”“以下”包括本数</w:t>
      </w:r>
      <w:r>
        <w:rPr>
          <w:rFonts w:hint="default" w:ascii="仿宋_GB2312" w:eastAsia="仿宋_GB2312"/>
          <w:sz w:val="32"/>
          <w:szCs w:val="32"/>
          <w:lang w:val="en"/>
        </w:rPr>
        <w:t>,</w:t>
      </w:r>
      <w:r>
        <w:rPr>
          <w:rFonts w:hint="eastAsia" w:ascii="仿宋_GB2312" w:eastAsia="仿宋_GB2312"/>
          <w:sz w:val="32"/>
          <w:szCs w:val="32"/>
        </w:rPr>
        <w:t>所称的“超过”不包括本数。</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十</w:t>
      </w:r>
      <w:r>
        <w:rPr>
          <w:rFonts w:hint="eastAsia" w:ascii="黑体" w:hAnsi="黑体" w:eastAsia="黑体"/>
          <w:sz w:val="32"/>
          <w:szCs w:val="32"/>
          <w:lang w:eastAsia="zh-CN"/>
        </w:rPr>
        <w:t>八</w:t>
      </w:r>
      <w:r>
        <w:rPr>
          <w:rFonts w:hint="eastAsia" w:ascii="黑体" w:hAnsi="黑体" w:eastAsia="黑体"/>
          <w:sz w:val="32"/>
          <w:szCs w:val="32"/>
        </w:rPr>
        <w:t xml:space="preserve">条  </w:t>
      </w:r>
      <w:r>
        <w:rPr>
          <w:rFonts w:hint="eastAsia" w:ascii="仿宋_GB2312" w:eastAsia="仿宋_GB2312"/>
          <w:sz w:val="32"/>
          <w:szCs w:val="32"/>
        </w:rPr>
        <w:t>本裁量基准所称的“自然年”是指以公历计算的一个完整的年度，即1月1日至12月31日。</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十</w:t>
      </w:r>
      <w:r>
        <w:rPr>
          <w:rFonts w:hint="eastAsia" w:ascii="黑体" w:hAnsi="黑体" w:eastAsia="黑体"/>
          <w:sz w:val="32"/>
          <w:szCs w:val="32"/>
          <w:lang w:eastAsia="zh-CN"/>
        </w:rPr>
        <w:t>九</w:t>
      </w:r>
      <w:r>
        <w:rPr>
          <w:rFonts w:hint="eastAsia" w:ascii="黑体" w:hAnsi="黑体" w:eastAsia="黑体"/>
          <w:sz w:val="32"/>
          <w:szCs w:val="32"/>
        </w:rPr>
        <w:t xml:space="preserve">条  </w:t>
      </w:r>
      <w:r>
        <w:rPr>
          <w:rFonts w:hint="eastAsia" w:ascii="仿宋_GB2312" w:eastAsia="仿宋_GB2312"/>
          <w:sz w:val="32"/>
          <w:szCs w:val="32"/>
        </w:rPr>
        <w:t>及时改正是指在行政机关作出行政处罚前，对已发生的违法行为的改正，包括在政府统计部门催报前主动补报统计报表、在统计联网直报平台关网前修改错误数据、</w:t>
      </w:r>
      <w:r>
        <w:rPr>
          <w:rFonts w:hint="eastAsia" w:ascii="仿宋_GB2312" w:eastAsia="仿宋_GB2312"/>
          <w:sz w:val="32"/>
          <w:szCs w:val="32"/>
          <w:lang w:eastAsia="zh-CN"/>
        </w:rPr>
        <w:t>书面</w:t>
      </w:r>
      <w:r>
        <w:rPr>
          <w:rFonts w:hint="eastAsia" w:ascii="仿宋_GB2312" w:eastAsia="仿宋_GB2312"/>
          <w:sz w:val="32"/>
          <w:szCs w:val="32"/>
        </w:rPr>
        <w:t>承诺立即整改或不再违法等行为。</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主观过错包括故意和过失。故意是指明知自己的行为会发生危害结果，并且希望或者放任这种结果发生；过失是指应当预见自己的行为可能发生危害结果，因为疏忽大意而没有预见，或者已经预见而轻信能够避免。</w:t>
      </w:r>
    </w:p>
    <w:p>
      <w:pPr>
        <w:keepNext w:val="0"/>
        <w:keepLines w:val="0"/>
        <w:pageBreakBefore w:val="0"/>
        <w:kinsoku/>
        <w:wordWrap/>
        <w:overflowPunct/>
        <w:topLinePunct w:val="0"/>
        <w:autoSpaceDE/>
        <w:autoSpaceDN/>
        <w:bidi w:val="0"/>
        <w:spacing w:line="520" w:lineRule="exact"/>
        <w:ind w:firstLine="631"/>
        <w:textAlignment w:val="auto"/>
        <w:rPr>
          <w:rFonts w:hint="eastAsia" w:ascii="仿宋_GB2312" w:eastAsia="仿宋_GB2312"/>
          <w:spacing w:val="-6"/>
          <w:sz w:val="32"/>
          <w:szCs w:val="32"/>
        </w:rPr>
      </w:pPr>
      <w:r>
        <w:rPr>
          <w:rFonts w:hint="eastAsia" w:ascii="黑体" w:hAnsi="黑体" w:eastAsia="黑体"/>
          <w:spacing w:val="-6"/>
          <w:sz w:val="32"/>
          <w:szCs w:val="32"/>
        </w:rPr>
        <w:t xml:space="preserve">第三十条  </w:t>
      </w:r>
      <w:r>
        <w:rPr>
          <w:rFonts w:hint="eastAsia" w:ascii="仿宋_GB2312" w:eastAsia="仿宋_GB2312"/>
          <w:spacing w:val="-6"/>
          <w:sz w:val="32"/>
          <w:szCs w:val="32"/>
        </w:rPr>
        <w:t>本裁量基准及对应的统计行政处罚裁量基准表由</w:t>
      </w:r>
      <w:r>
        <w:rPr>
          <w:rFonts w:hint="eastAsia" w:ascii="仿宋_GB2312" w:eastAsia="仿宋_GB2312"/>
          <w:spacing w:val="-6"/>
          <w:sz w:val="32"/>
          <w:szCs w:val="32"/>
          <w:lang w:eastAsia="zh-CN"/>
        </w:rPr>
        <w:t>北京</w:t>
      </w:r>
      <w:r>
        <w:rPr>
          <w:rFonts w:hint="eastAsia" w:ascii="仿宋_GB2312" w:eastAsia="仿宋_GB2312"/>
          <w:spacing w:val="-6"/>
          <w:sz w:val="32"/>
          <w:szCs w:val="32"/>
        </w:rPr>
        <w:t>市统计局、国家统计局北京调查总队负责解释。</w:t>
      </w:r>
    </w:p>
    <w:p>
      <w:pPr>
        <w:keepNext w:val="0"/>
        <w:keepLines w:val="0"/>
        <w:pageBreakBefore w:val="0"/>
        <w:kinsoku/>
        <w:wordWrap/>
        <w:overflowPunct/>
        <w:topLinePunct w:val="0"/>
        <w:autoSpaceDE/>
        <w:autoSpaceDN/>
        <w:bidi w:val="0"/>
        <w:spacing w:line="520" w:lineRule="exact"/>
        <w:ind w:firstLine="631"/>
        <w:textAlignment w:val="auto"/>
        <w:rPr>
          <w:rFonts w:hint="eastAsia" w:ascii="宋体" w:hAnsi="宋体" w:cs="宋体"/>
          <w:strike/>
          <w:color w:val="000000"/>
          <w:sz w:val="30"/>
          <w:szCs w:val="30"/>
        </w:rPr>
      </w:pPr>
      <w:r>
        <w:rPr>
          <w:rFonts w:hint="eastAsia" w:ascii="黑体" w:hAnsi="黑体" w:eastAsia="黑体" w:cs="Times New Roman"/>
          <w:b w:val="0"/>
          <w:bCs w:val="0"/>
          <w:color w:val="222222"/>
          <w:spacing w:val="-6"/>
          <w:sz w:val="32"/>
          <w:szCs w:val="32"/>
          <w:shd w:val="clear" w:color="auto" w:fill="auto"/>
        </w:rPr>
        <w:t>第三十</w:t>
      </w:r>
      <w:r>
        <w:rPr>
          <w:rFonts w:hint="eastAsia" w:ascii="黑体" w:hAnsi="黑体" w:eastAsia="黑体" w:cs="Times New Roman"/>
          <w:b w:val="0"/>
          <w:bCs w:val="0"/>
          <w:color w:val="222222"/>
          <w:spacing w:val="-6"/>
          <w:sz w:val="32"/>
          <w:szCs w:val="32"/>
          <w:shd w:val="clear" w:color="auto" w:fill="auto"/>
          <w:lang w:eastAsia="zh-CN"/>
        </w:rPr>
        <w:t>一</w:t>
      </w:r>
      <w:r>
        <w:rPr>
          <w:rFonts w:hint="eastAsia" w:ascii="黑体" w:hAnsi="黑体" w:eastAsia="黑体" w:cs="Times New Roman"/>
          <w:b w:val="0"/>
          <w:bCs w:val="0"/>
          <w:color w:val="222222"/>
          <w:spacing w:val="-6"/>
          <w:sz w:val="32"/>
          <w:szCs w:val="32"/>
          <w:shd w:val="clear" w:color="auto" w:fill="auto"/>
        </w:rPr>
        <w:t>条</w:t>
      </w:r>
      <w:r>
        <w:rPr>
          <w:rFonts w:hint="eastAsia" w:ascii="仿宋_GB2312" w:hAnsi="仿宋_GB2312" w:eastAsia="仿宋_GB2312" w:cs="仿宋_GB2312"/>
          <w:color w:val="222222"/>
          <w:sz w:val="32"/>
          <w:szCs w:val="32"/>
          <w:shd w:val="clear" w:color="auto" w:fill="FFFFFF"/>
        </w:rPr>
        <w:t xml:space="preserve">  本裁量基准及对应的统计行政处罚裁量基准表自</w:t>
      </w:r>
      <w:r>
        <w:rPr>
          <w:rFonts w:hint="eastAsia" w:ascii="仿宋_GB2312" w:hAnsi="仿宋_GB2312" w:eastAsia="仿宋_GB2312" w:cs="仿宋_GB2312"/>
          <w:color w:val="222222"/>
          <w:sz w:val="32"/>
          <w:szCs w:val="32"/>
          <w:shd w:val="clear" w:color="auto" w:fill="FFFFFF"/>
          <w:lang w:eastAsia="zh-CN"/>
        </w:rPr>
        <w:t>印发之日</w:t>
      </w:r>
      <w:r>
        <w:rPr>
          <w:rFonts w:hint="eastAsia" w:ascii="仿宋_GB2312" w:hAnsi="仿宋_GB2312" w:eastAsia="仿宋_GB2312" w:cs="仿宋_GB2312"/>
          <w:color w:val="222222"/>
          <w:sz w:val="32"/>
          <w:szCs w:val="32"/>
          <w:shd w:val="clear" w:color="auto" w:fill="FFFFFF"/>
        </w:rPr>
        <w:t>起实施，《北京市统计行政处罚裁量基准》（2021年版）及对应的统计违法行为处罚裁量基准表、《国家统计局北京调查总队关于印发〈北京地区国家调查队系统统计行政处罚裁量基准实施办法〉（内部试行）的通知》（京调字〔2020〕36号）同时废止。</w:t>
      </w:r>
    </w:p>
    <w:p>
      <w:pPr>
        <w:pStyle w:val="3"/>
        <w:keepNext w:val="0"/>
        <w:keepLines w:val="0"/>
        <w:pageBreakBefore w:val="0"/>
        <w:kinsoku/>
        <w:wordWrap/>
        <w:overflowPunct/>
        <w:topLinePunct w:val="0"/>
        <w:autoSpaceDE/>
        <w:autoSpaceDN/>
        <w:bidi w:val="0"/>
        <w:spacing w:line="520" w:lineRule="exact"/>
        <w:textAlignment w:val="auto"/>
        <w:rPr>
          <w:rFonts w:hint="eastAsia" w:ascii="仿宋_GB2312" w:hAnsi="Times New Roman" w:eastAsia="仿宋_GB2312" w:cs="Times New Roman"/>
          <w:spacing w:val="-6"/>
          <w:sz w:val="32"/>
          <w:szCs w:val="32"/>
        </w:rPr>
      </w:pPr>
    </w:p>
    <w:p>
      <w:pPr>
        <w:keepNext w:val="0"/>
        <w:keepLines w:val="0"/>
        <w:pageBreakBefore w:val="0"/>
        <w:kinsoku/>
        <w:wordWrap/>
        <w:overflowPunct/>
        <w:topLinePunct w:val="0"/>
        <w:autoSpaceDE/>
        <w:autoSpaceDN/>
        <w:bidi w:val="0"/>
        <w:adjustRightInd w:val="0"/>
        <w:snapToGrid w:val="0"/>
        <w:spacing w:line="520" w:lineRule="exact"/>
        <w:ind w:left="1870" w:leftChars="304" w:hanging="1232" w:hangingChars="400"/>
        <w:textAlignment w:val="auto"/>
        <w:rPr>
          <w:rFonts w:hint="eastAsia" w:ascii="仿宋_GB2312" w:eastAsia="仿宋_GB2312"/>
          <w:spacing w:val="-6"/>
          <w:sz w:val="32"/>
          <w:szCs w:val="32"/>
        </w:rPr>
      </w:pPr>
      <w:r>
        <w:rPr>
          <w:rFonts w:hint="eastAsia" w:ascii="仿宋_GB2312" w:eastAsia="仿宋_GB2312"/>
          <w:spacing w:val="-6"/>
          <w:sz w:val="32"/>
          <w:szCs w:val="32"/>
        </w:rPr>
        <w:t>附</w:t>
      </w:r>
      <w:r>
        <w:rPr>
          <w:rFonts w:hint="eastAsia" w:ascii="仿宋_GB2312" w:eastAsia="仿宋_GB2312"/>
          <w:spacing w:val="-6"/>
          <w:sz w:val="32"/>
          <w:szCs w:val="32"/>
          <w:lang w:eastAsia="zh-CN"/>
        </w:rPr>
        <w:t>表</w:t>
      </w:r>
      <w:r>
        <w:rPr>
          <w:rFonts w:hint="eastAsia" w:ascii="仿宋_GB2312" w:eastAsia="仿宋_GB2312"/>
          <w:spacing w:val="-6"/>
          <w:sz w:val="32"/>
          <w:szCs w:val="32"/>
        </w:rPr>
        <w:t>：北京市统计行政处罚裁量基准表</w:t>
      </w:r>
    </w:p>
    <w:p>
      <w:pPr>
        <w:spacing w:line="520" w:lineRule="exact"/>
        <w:ind w:firstLine="600" w:firstLineChars="200"/>
        <w:rPr>
          <w:rFonts w:hint="eastAsia" w:ascii="宋体" w:hAnsi="宋体" w:cs="宋体"/>
          <w:color w:val="000000"/>
          <w:sz w:val="30"/>
          <w:szCs w:val="30"/>
        </w:rPr>
      </w:pPr>
    </w:p>
    <w:p>
      <w:pPr>
        <w:adjustRightInd/>
        <w:snapToGrid/>
        <w:spacing w:line="520" w:lineRule="exact"/>
        <w:ind w:firstLine="600" w:firstLineChars="200"/>
        <w:jc w:val="left"/>
        <w:rPr>
          <w:rFonts w:ascii="宋体" w:hAnsi="宋体" w:cs="宋体"/>
          <w:color w:val="000000"/>
          <w:sz w:val="30"/>
          <w:szCs w:val="30"/>
        </w:rPr>
        <w:sectPr>
          <w:footerReference r:id="rId3" w:type="default"/>
          <w:footerReference r:id="rId4" w:type="even"/>
          <w:pgSz w:w="11906" w:h="16838"/>
          <w:pgMar w:top="2098" w:right="1497" w:bottom="1984" w:left="1587" w:header="851" w:footer="1191" w:gutter="0"/>
          <w:pgNumType w:fmt="decimal"/>
          <w:cols w:space="720" w:num="1"/>
          <w:docGrid w:type="lines" w:linePitch="312" w:charSpace="0"/>
        </w:sectPr>
      </w:pPr>
    </w:p>
    <w:tbl>
      <w:tblPr>
        <w:tblStyle w:val="10"/>
        <w:tblW w:w="14967" w:type="dxa"/>
        <w:tblInd w:w="-270" w:type="dxa"/>
        <w:tblLayout w:type="fixed"/>
        <w:tblCellMar>
          <w:top w:w="0" w:type="dxa"/>
          <w:left w:w="108" w:type="dxa"/>
          <w:bottom w:w="0" w:type="dxa"/>
          <w:right w:w="108" w:type="dxa"/>
        </w:tblCellMar>
      </w:tblPr>
      <w:tblGrid>
        <w:gridCol w:w="1295"/>
        <w:gridCol w:w="1780"/>
        <w:gridCol w:w="7485"/>
        <w:gridCol w:w="1545"/>
        <w:gridCol w:w="922"/>
        <w:gridCol w:w="1088"/>
        <w:gridCol w:w="852"/>
      </w:tblGrid>
      <w:tr>
        <w:tblPrEx>
          <w:tblLayout w:type="fixed"/>
          <w:tblCellMar>
            <w:top w:w="0" w:type="dxa"/>
            <w:left w:w="108" w:type="dxa"/>
            <w:bottom w:w="0" w:type="dxa"/>
            <w:right w:w="108" w:type="dxa"/>
          </w:tblCellMar>
        </w:tblPrEx>
        <w:trPr>
          <w:trHeight w:val="568" w:hRule="atLeast"/>
        </w:trPr>
        <w:tc>
          <w:tcPr>
            <w:tcW w:w="1295" w:type="dxa"/>
            <w:tcBorders>
              <w:top w:val="nil"/>
              <w:left w:val="nil"/>
              <w:bottom w:val="nil"/>
              <w:right w:val="nil"/>
            </w:tcBorders>
            <w:vAlign w:val="center"/>
          </w:tcPr>
          <w:p>
            <w:pPr>
              <w:widowControl/>
              <w:jc w:val="left"/>
              <w:rPr>
                <w:rFonts w:hint="eastAsia" w:ascii="黑体" w:hAnsi="黑体" w:eastAsia="黑体" w:cs="宋体"/>
                <w:kern w:val="0"/>
                <w:sz w:val="36"/>
                <w:szCs w:val="36"/>
                <w:lang w:val="en"/>
              </w:rPr>
            </w:pPr>
            <w:r>
              <w:rPr>
                <w:rFonts w:hint="eastAsia" w:ascii="黑体" w:hAnsi="黑体" w:eastAsia="黑体" w:cs="宋体"/>
                <w:kern w:val="0"/>
                <w:sz w:val="32"/>
                <w:szCs w:val="32"/>
              </w:rPr>
              <w:t>附</w:t>
            </w:r>
            <w:r>
              <w:rPr>
                <w:rFonts w:hint="eastAsia" w:ascii="黑体" w:hAnsi="黑体" w:eastAsia="黑体" w:cs="宋体"/>
                <w:kern w:val="0"/>
                <w:sz w:val="32"/>
                <w:szCs w:val="32"/>
                <w:lang w:eastAsia="zh-CN"/>
              </w:rPr>
              <w:t>表</w:t>
            </w:r>
          </w:p>
        </w:tc>
        <w:tc>
          <w:tcPr>
            <w:tcW w:w="1780" w:type="dxa"/>
            <w:tcBorders>
              <w:top w:val="nil"/>
              <w:left w:val="nil"/>
              <w:bottom w:val="nil"/>
              <w:right w:val="nil"/>
            </w:tcBorders>
            <w:vAlign w:val="center"/>
          </w:tcPr>
          <w:p>
            <w:pPr>
              <w:widowControl/>
              <w:jc w:val="left"/>
              <w:rPr>
                <w:rFonts w:ascii="宋体" w:hAnsi="宋体" w:cs="宋体"/>
                <w:kern w:val="0"/>
                <w:sz w:val="24"/>
              </w:rPr>
            </w:pPr>
          </w:p>
        </w:tc>
        <w:tc>
          <w:tcPr>
            <w:tcW w:w="7485" w:type="dxa"/>
            <w:tcBorders>
              <w:top w:val="nil"/>
              <w:left w:val="nil"/>
              <w:bottom w:val="nil"/>
              <w:right w:val="nil"/>
            </w:tcBorders>
            <w:vAlign w:val="center"/>
          </w:tcPr>
          <w:p>
            <w:pPr>
              <w:widowControl/>
              <w:jc w:val="left"/>
              <w:rPr>
                <w:rFonts w:ascii="宋体" w:hAnsi="宋体" w:cs="宋体"/>
                <w:kern w:val="0"/>
                <w:sz w:val="24"/>
              </w:rPr>
            </w:pPr>
          </w:p>
        </w:tc>
        <w:tc>
          <w:tcPr>
            <w:tcW w:w="2467" w:type="dxa"/>
            <w:gridSpan w:val="2"/>
            <w:tcBorders>
              <w:top w:val="nil"/>
              <w:left w:val="nil"/>
              <w:bottom w:val="nil"/>
              <w:right w:val="nil"/>
            </w:tcBorders>
            <w:vAlign w:val="center"/>
          </w:tcPr>
          <w:p>
            <w:pPr>
              <w:widowControl/>
              <w:jc w:val="left"/>
              <w:rPr>
                <w:rFonts w:ascii="宋体" w:hAnsi="宋体" w:cs="宋体"/>
                <w:kern w:val="0"/>
                <w:sz w:val="24"/>
              </w:rPr>
            </w:pPr>
          </w:p>
        </w:tc>
        <w:tc>
          <w:tcPr>
            <w:tcW w:w="1940" w:type="dxa"/>
            <w:gridSpan w:val="2"/>
            <w:tcBorders>
              <w:top w:val="nil"/>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1"/>
          <w:wAfter w:w="852" w:type="dxa"/>
          <w:trHeight w:val="510" w:hRule="atLeast"/>
        </w:trPr>
        <w:tc>
          <w:tcPr>
            <w:tcW w:w="14115" w:type="dxa"/>
            <w:gridSpan w:val="6"/>
            <w:tcBorders>
              <w:top w:val="nil"/>
              <w:left w:val="nil"/>
              <w:bottom w:val="nil"/>
              <w:right w:val="nil"/>
            </w:tcBorders>
            <w:vAlign w:val="center"/>
          </w:tcPr>
          <w:p>
            <w:pPr>
              <w:widowControl/>
              <w:jc w:val="center"/>
              <w:rPr>
                <w:rFonts w:hint="eastAsia" w:ascii="华文中宋" w:hAnsi="华文中宋" w:eastAsia="华文中宋" w:cs="宋体"/>
                <w:kern w:val="0"/>
                <w:sz w:val="36"/>
                <w:szCs w:val="36"/>
              </w:rPr>
            </w:pPr>
            <w:r>
              <w:rPr>
                <w:rFonts w:hint="eastAsia" w:ascii="华文中宋" w:hAnsi="华文中宋" w:eastAsia="华文中宋" w:cs="宋体"/>
                <w:kern w:val="0"/>
                <w:sz w:val="36"/>
                <w:szCs w:val="36"/>
              </w:rPr>
              <w:t>北京市统计行政处罚裁量基准表</w:t>
            </w:r>
          </w:p>
        </w:tc>
      </w:tr>
      <w:tr>
        <w:tblPrEx>
          <w:tblLayout w:type="fixed"/>
          <w:tblCellMar>
            <w:top w:w="0" w:type="dxa"/>
            <w:left w:w="108" w:type="dxa"/>
            <w:bottom w:w="0" w:type="dxa"/>
            <w:right w:w="108" w:type="dxa"/>
          </w:tblCellMar>
        </w:tblPrEx>
        <w:trPr>
          <w:gridAfter w:val="1"/>
          <w:wAfter w:w="852" w:type="dxa"/>
          <w:trHeight w:val="450" w:hRule="atLeast"/>
        </w:trPr>
        <w:tc>
          <w:tcPr>
            <w:tcW w:w="1295" w:type="dxa"/>
            <w:tcBorders>
              <w:top w:val="nil"/>
              <w:left w:val="nil"/>
              <w:bottom w:val="single" w:color="auto" w:sz="4" w:space="0"/>
              <w:right w:val="nil"/>
            </w:tcBorders>
            <w:vAlign w:val="center"/>
          </w:tcPr>
          <w:p>
            <w:pPr>
              <w:widowControl/>
              <w:jc w:val="center"/>
              <w:rPr>
                <w:rFonts w:ascii="宋体" w:hAnsi="宋体" w:cs="宋体"/>
                <w:b/>
                <w:bCs/>
                <w:kern w:val="0"/>
                <w:sz w:val="36"/>
                <w:szCs w:val="36"/>
              </w:rPr>
            </w:pPr>
          </w:p>
        </w:tc>
        <w:tc>
          <w:tcPr>
            <w:tcW w:w="1780" w:type="dxa"/>
            <w:tcBorders>
              <w:top w:val="nil"/>
              <w:left w:val="nil"/>
              <w:bottom w:val="single" w:color="auto" w:sz="4" w:space="0"/>
              <w:right w:val="nil"/>
            </w:tcBorders>
            <w:vAlign w:val="center"/>
          </w:tcPr>
          <w:p>
            <w:pPr>
              <w:widowControl/>
              <w:jc w:val="center"/>
              <w:rPr>
                <w:rFonts w:ascii="宋体" w:hAnsi="宋体" w:cs="宋体"/>
                <w:b/>
                <w:bCs/>
                <w:kern w:val="0"/>
                <w:sz w:val="36"/>
                <w:szCs w:val="36"/>
              </w:rPr>
            </w:pPr>
          </w:p>
        </w:tc>
        <w:tc>
          <w:tcPr>
            <w:tcW w:w="7485" w:type="dxa"/>
            <w:tcBorders>
              <w:top w:val="nil"/>
              <w:left w:val="nil"/>
              <w:bottom w:val="single" w:color="auto" w:sz="4" w:space="0"/>
              <w:right w:val="nil"/>
            </w:tcBorders>
            <w:vAlign w:val="center"/>
          </w:tcPr>
          <w:p>
            <w:pPr>
              <w:widowControl/>
              <w:rPr>
                <w:rFonts w:ascii="仿宋_GB2312" w:hAnsi="宋体" w:eastAsia="仿宋_GB2312" w:cs="宋体"/>
                <w:kern w:val="0"/>
                <w:sz w:val="32"/>
                <w:szCs w:val="32"/>
              </w:rPr>
            </w:pPr>
          </w:p>
        </w:tc>
        <w:tc>
          <w:tcPr>
            <w:tcW w:w="1545" w:type="dxa"/>
            <w:tcBorders>
              <w:top w:val="nil"/>
              <w:left w:val="nil"/>
              <w:bottom w:val="single" w:color="auto" w:sz="4" w:space="0"/>
              <w:right w:val="nil"/>
            </w:tcBorders>
            <w:vAlign w:val="center"/>
          </w:tcPr>
          <w:p>
            <w:pPr>
              <w:widowControl/>
              <w:jc w:val="center"/>
              <w:rPr>
                <w:rFonts w:ascii="宋体" w:hAnsi="宋体" w:cs="宋体"/>
                <w:b/>
                <w:bCs/>
                <w:kern w:val="0"/>
                <w:sz w:val="36"/>
                <w:szCs w:val="36"/>
              </w:rPr>
            </w:pPr>
          </w:p>
        </w:tc>
        <w:tc>
          <w:tcPr>
            <w:tcW w:w="2010" w:type="dxa"/>
            <w:gridSpan w:val="2"/>
            <w:tcBorders>
              <w:top w:val="nil"/>
              <w:left w:val="nil"/>
              <w:bottom w:val="single" w:color="auto" w:sz="4" w:space="0"/>
              <w:right w:val="nil"/>
            </w:tcBorders>
            <w:vAlign w:val="center"/>
          </w:tcPr>
          <w:p>
            <w:pPr>
              <w:widowControl/>
              <w:jc w:val="center"/>
              <w:rPr>
                <w:rFonts w:ascii="宋体" w:hAnsi="宋体" w:cs="宋体"/>
                <w:b/>
                <w:bCs/>
                <w:kern w:val="0"/>
                <w:sz w:val="36"/>
                <w:szCs w:val="36"/>
              </w:rPr>
            </w:pPr>
          </w:p>
        </w:tc>
      </w:tr>
      <w:tr>
        <w:tblPrEx>
          <w:tblLayout w:type="fixed"/>
          <w:tblCellMar>
            <w:top w:w="0" w:type="dxa"/>
            <w:left w:w="108" w:type="dxa"/>
            <w:bottom w:w="0" w:type="dxa"/>
            <w:right w:w="108" w:type="dxa"/>
          </w:tblCellMar>
        </w:tblPrEx>
        <w:trPr>
          <w:gridAfter w:val="1"/>
          <w:wAfter w:w="852" w:type="dxa"/>
          <w:cantSplit/>
        </w:trPr>
        <w:tc>
          <w:tcPr>
            <w:tcW w:w="1295"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90"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C42007C000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企业事业单位或者其他组织未按照国家有关规定设置原始记录、统计台账</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《中华人民共和国统计法》（下同）第四十二条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单项原始记录、统计台账未设置的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对企业事业单位或者其他组织给予“警告”或者“警告并处2000元以下罚款”</w:t>
            </w:r>
          </w:p>
        </w:tc>
      </w:tr>
      <w:tr>
        <w:tblPrEx>
          <w:tblLayout w:type="fixed"/>
          <w:tblCellMar>
            <w:top w:w="0" w:type="dxa"/>
            <w:left w:w="108" w:type="dxa"/>
            <w:bottom w:w="0" w:type="dxa"/>
            <w:right w:w="108" w:type="dxa"/>
          </w:tblCellMar>
        </w:tblPrEx>
        <w:trPr>
          <w:gridAfter w:val="1"/>
          <w:wAfter w:w="852" w:type="dxa"/>
          <w:cantSplit/>
          <w:trHeight w:val="2274"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C42007B000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企业事业单位或者其他组织未按照国家有关规定设置原始记录、统计台账</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两项以上原始记录、统计台账未设置的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对企业事业单位或者其他组织给予“警告并处2000元以上至5000元以下罚款”</w:t>
            </w:r>
          </w:p>
        </w:tc>
      </w:tr>
      <w:tr>
        <w:tblPrEx>
          <w:tblLayout w:type="fixed"/>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C42007A000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企业事业单位或者其他组织未按照国家有关规定设置原始记录、统计台账</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未设置原始记录、统计台账，两年内曾被责令改正，但仍未改正的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对企业事业单位或者其他组织给予“警告并处5000元以上至1万元以下罚款”</w:t>
            </w:r>
          </w:p>
        </w:tc>
      </w:tr>
      <w:tr>
        <w:tblPrEx>
          <w:tblLayout w:type="fixed"/>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2136"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C42006C000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企业事业单位或者其他组织、个体工商户迟报统计资料</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hint="eastAsia"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个体工商户迟报统计资料的，由县级以上人民政府统计机构责令改正，给予警告，可以并处一千元以下的罚款。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连续两个自然年度内首次发生的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对企业事业单位或者其他组织给予“警告”或者“警告并处2000元以下罚款”；对个体工商户给予“警告”或者“警告并处200元以下罚款”。</w:t>
            </w:r>
          </w:p>
        </w:tc>
      </w:tr>
      <w:tr>
        <w:tblPrEx>
          <w:tblLayout w:type="fixed"/>
          <w:tblCellMar>
            <w:top w:w="0" w:type="dxa"/>
            <w:left w:w="108" w:type="dxa"/>
            <w:bottom w:w="0" w:type="dxa"/>
            <w:right w:w="108" w:type="dxa"/>
          </w:tblCellMar>
        </w:tblPrEx>
        <w:trPr>
          <w:gridAfter w:val="1"/>
          <w:wAfter w:w="852" w:type="dxa"/>
          <w:cantSplit/>
          <w:trHeight w:val="2646"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C42006B000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企业事业单位或者其他组织、个体工商户迟报统计资料</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hint="eastAsia"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个体工商户迟报统计资料的，由县级以上人民政府统计机构责令改正，给予警告，可以并处一千元以下的罚款。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连续两个自然年度内再次发生的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对企业事业单位或者其他组织给予“警告并处2000元以上至5000元以下罚款”；对个体工商户给予“警告并处200元以上至500元以下罚款”。</w:t>
            </w:r>
          </w:p>
        </w:tc>
      </w:tr>
      <w:tr>
        <w:tblPrEx>
          <w:tblLayout w:type="fixed"/>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C42006A000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企业事业单位或者其他组织、个体工商户迟报统计资料</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hint="eastAsia"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个体工商户迟报统计资料的，由县级以上人民政府统计机构责令改正，给予警告，可以并处一千元以下的罚款。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连续两个自然年度内发生三次以上的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对企业事业单位或者其他组织给予“警告并处5000元以上至1万元以下罚款”；对个体工商户给予“警告并处500元以上至1000元以下罚款”。</w:t>
            </w:r>
          </w:p>
        </w:tc>
      </w:tr>
      <w:tr>
        <w:tblPrEx>
          <w:tblLayout w:type="fixed"/>
          <w:tblCellMar>
            <w:top w:w="0" w:type="dxa"/>
            <w:left w:w="108" w:type="dxa"/>
            <w:bottom w:w="0" w:type="dxa"/>
            <w:right w:w="108" w:type="dxa"/>
          </w:tblCellMar>
        </w:tblPrEx>
        <w:trPr>
          <w:gridAfter w:val="1"/>
          <w:wAfter w:w="852" w:type="dxa"/>
          <w:cantSplit/>
          <w:trHeight w:val="312"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312" w:hRule="atLeast"/>
        </w:trPr>
        <w:tc>
          <w:tcPr>
            <w:tcW w:w="1295" w:type="dxa"/>
            <w:vMerge w:val="restart"/>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C42001B000</w:t>
            </w:r>
          </w:p>
        </w:tc>
        <w:tc>
          <w:tcPr>
            <w:tcW w:w="1780"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企业事业单位或者其他组织、个体工商户拒绝提供统计资料或者经催报后仍未按时提供统计资料</w:t>
            </w:r>
          </w:p>
        </w:tc>
        <w:tc>
          <w:tcPr>
            <w:tcW w:w="748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（一）拒绝提供统计资料或者经催报后仍未按时提供统计资料的；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拒绝提供统计资料或者超过催报规定时限仍未提供的</w:t>
            </w:r>
          </w:p>
        </w:tc>
        <w:tc>
          <w:tcPr>
            <w:tcW w:w="2010" w:type="dxa"/>
            <w:gridSpan w:val="2"/>
            <w:vMerge w:val="restart"/>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对企业事业单位或者其他组织给予“警告并可以处5万元以下罚款”；对个体工商户给予“警告并可以处1万元以下罚款”。</w:t>
            </w:r>
          </w:p>
        </w:tc>
      </w:tr>
      <w:tr>
        <w:tblPrEx>
          <w:tblLayout w:type="fixed"/>
          <w:tblCellMar>
            <w:top w:w="0" w:type="dxa"/>
            <w:left w:w="108" w:type="dxa"/>
            <w:bottom w:w="0" w:type="dxa"/>
            <w:right w:w="108" w:type="dxa"/>
          </w:tblCellMar>
        </w:tblPrEx>
        <w:trPr>
          <w:gridAfter w:val="1"/>
          <w:wAfter w:w="852" w:type="dxa"/>
          <w:cantSplit/>
          <w:trHeight w:val="312" w:hRule="atLeast"/>
        </w:trPr>
        <w:tc>
          <w:tcPr>
            <w:tcW w:w="1295" w:type="dxa"/>
            <w:vMerge w:val="continue"/>
            <w:tcBorders>
              <w:left w:val="single" w:color="auto" w:sz="4" w:space="0"/>
              <w:right w:val="single" w:color="auto" w:sz="6" w:space="0"/>
            </w:tcBorders>
            <w:vAlign w:val="center"/>
          </w:tcPr>
          <w:p>
            <w:pPr>
              <w:widowControl/>
              <w:jc w:val="left"/>
              <w:rPr>
                <w:rFonts w:hint="eastAsia" w:ascii="宋体" w:hAnsi="宋体" w:cs="宋体"/>
                <w:kern w:val="0"/>
                <w:sz w:val="20"/>
                <w:szCs w:val="20"/>
              </w:rPr>
            </w:pPr>
          </w:p>
        </w:tc>
        <w:tc>
          <w:tcPr>
            <w:tcW w:w="1780" w:type="dxa"/>
            <w:vMerge w:val="continue"/>
            <w:tcBorders>
              <w:left w:val="single" w:color="auto" w:sz="6" w:space="0"/>
              <w:right w:val="single" w:color="auto" w:sz="6" w:space="0"/>
            </w:tcBorders>
            <w:vAlign w:val="center"/>
          </w:tcPr>
          <w:p>
            <w:pPr>
              <w:widowControl/>
              <w:jc w:val="left"/>
              <w:rPr>
                <w:rFonts w:hint="eastAsia" w:ascii="宋体" w:hAnsi="宋体" w:cs="宋体"/>
                <w:kern w:val="0"/>
                <w:sz w:val="20"/>
                <w:szCs w:val="20"/>
              </w:rPr>
            </w:pPr>
          </w:p>
        </w:tc>
        <w:tc>
          <w:tcPr>
            <w:tcW w:w="7485" w:type="dxa"/>
            <w:vMerge w:val="continue"/>
            <w:tcBorders>
              <w:left w:val="single" w:color="auto" w:sz="6" w:space="0"/>
              <w:right w:val="single" w:color="auto" w:sz="6" w:space="0"/>
            </w:tcBorders>
            <w:vAlign w:val="center"/>
          </w:tcPr>
          <w:p>
            <w:pPr>
              <w:widowControl/>
              <w:ind w:firstLine="400" w:firstLineChars="200"/>
              <w:jc w:val="left"/>
              <w:rPr>
                <w:rFonts w:hint="eastAsia" w:ascii="宋体" w:hAnsi="宋体" w:cs="宋体"/>
                <w:kern w:val="0"/>
                <w:sz w:val="20"/>
                <w:szCs w:val="20"/>
              </w:rPr>
            </w:pPr>
          </w:p>
        </w:tc>
        <w:tc>
          <w:tcPr>
            <w:tcW w:w="1545" w:type="dxa"/>
            <w:vMerge w:val="continue"/>
            <w:tcBorders>
              <w:left w:val="single" w:color="auto" w:sz="6" w:space="0"/>
              <w:right w:val="single" w:color="auto" w:sz="6" w:space="0"/>
            </w:tcBorders>
            <w:vAlign w:val="center"/>
          </w:tcPr>
          <w:p>
            <w:pPr>
              <w:widowControl/>
              <w:jc w:val="left"/>
              <w:rPr>
                <w:rFonts w:hint="eastAsia" w:ascii="宋体" w:hAnsi="宋体" w:cs="宋体"/>
                <w:kern w:val="0"/>
                <w:sz w:val="20"/>
                <w:szCs w:val="20"/>
              </w:rPr>
            </w:pPr>
          </w:p>
        </w:tc>
        <w:tc>
          <w:tcPr>
            <w:tcW w:w="2010" w:type="dxa"/>
            <w:gridSpan w:val="2"/>
            <w:vMerge w:val="continue"/>
            <w:tcBorders>
              <w:left w:val="single" w:color="auto" w:sz="6" w:space="0"/>
              <w:right w:val="single" w:color="auto" w:sz="4" w:space="0"/>
            </w:tcBorders>
            <w:vAlign w:val="center"/>
          </w:tcPr>
          <w:p>
            <w:pPr>
              <w:widowControl/>
              <w:jc w:val="left"/>
              <w:rPr>
                <w:rFonts w:hint="eastAsia" w:ascii="宋体" w:hAnsi="宋体" w:cs="宋体"/>
                <w:kern w:val="0"/>
                <w:sz w:val="20"/>
                <w:szCs w:val="20"/>
              </w:rPr>
            </w:pPr>
          </w:p>
        </w:tc>
      </w:tr>
      <w:tr>
        <w:tblPrEx>
          <w:tblLayout w:type="fixed"/>
          <w:tblCellMar>
            <w:top w:w="0" w:type="dxa"/>
            <w:left w:w="108" w:type="dxa"/>
            <w:bottom w:w="0" w:type="dxa"/>
            <w:right w:w="108" w:type="dxa"/>
          </w:tblCellMar>
        </w:tblPrEx>
        <w:trPr>
          <w:gridAfter w:val="1"/>
          <w:wAfter w:w="852" w:type="dxa"/>
          <w:cantSplit/>
          <w:trHeight w:val="312" w:hRule="atLeast"/>
        </w:trPr>
        <w:tc>
          <w:tcPr>
            <w:tcW w:w="1295"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154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2010" w:type="dxa"/>
            <w:gridSpan w:val="2"/>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C42001A010</w:t>
            </w:r>
          </w:p>
        </w:tc>
        <w:tc>
          <w:tcPr>
            <w:tcW w:w="1780"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企业事业单位或者其他组织拒绝提供统计资料或者经催报后仍未按时提供统计资料</w:t>
            </w:r>
          </w:p>
        </w:tc>
        <w:tc>
          <w:tcPr>
            <w:tcW w:w="748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第</w:t>
            </w:r>
            <w:r>
              <w:rPr>
                <w:rFonts w:hint="eastAsia" w:ascii="宋体" w:hAnsi="宋体" w:cs="宋体"/>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（一）拒绝提供统计资料或者经催报后仍未按时提供统计资料的；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企业事业单位或者其他组织有前款所列行为之一的，可以并处五万元以下的罚款；情节严重的，并处五万元以上二十万元以下的罚款。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拒绝提供统计资料或者超过催报规定时限仍未提供，1年内被责令改正3次以上的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Layout w:type="fixed"/>
          <w:tblCellMar>
            <w:top w:w="0" w:type="dxa"/>
            <w:left w:w="108" w:type="dxa"/>
            <w:bottom w:w="0" w:type="dxa"/>
            <w:right w:w="108" w:type="dxa"/>
          </w:tblCellMar>
        </w:tblPrEx>
        <w:trPr>
          <w:gridAfter w:val="1"/>
          <w:wAfter w:w="852" w:type="dxa"/>
          <w:cantSplit/>
          <w:trHeight w:val="2697"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C42001A020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拒绝提供统计资料或者超过催报规定时限仍未提供，严重影响相关工作正常开展的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Layout w:type="fixed"/>
          <w:tblCellMar>
            <w:top w:w="0" w:type="dxa"/>
            <w:left w:w="108" w:type="dxa"/>
            <w:bottom w:w="0" w:type="dxa"/>
            <w:right w:w="108" w:type="dxa"/>
          </w:tblCellMar>
        </w:tblPrEx>
        <w:trPr>
          <w:gridAfter w:val="1"/>
          <w:wAfter w:w="852" w:type="dxa"/>
          <w:cantSplit/>
          <w:trHeight w:val="937"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7203"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C42002C000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企业事业单位或者其他组织、个体工商户提供不真实或者不完整统计资料的</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（二）提供不真实或者不完整的统计资料的；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差错数额达到适用普通程序的统计行政处罚标准、差错率在30%以下的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对企业事业单位或者其他组织给予“警告”或者“警告并处1万元以下罚款”；对个体工商户给予“警告”或者“警告并处1000元以下罚款”。</w:t>
            </w:r>
          </w:p>
        </w:tc>
      </w:tr>
      <w:tr>
        <w:tblPrEx>
          <w:tblLayout w:type="fixed"/>
          <w:tblCellMar>
            <w:top w:w="0" w:type="dxa"/>
            <w:left w:w="108" w:type="dxa"/>
            <w:bottom w:w="0" w:type="dxa"/>
            <w:right w:w="108" w:type="dxa"/>
          </w:tblCellMar>
        </w:tblPrEx>
        <w:trPr>
          <w:gridAfter w:val="1"/>
          <w:wAfter w:w="852" w:type="dxa"/>
          <w:cantSplit/>
          <w:trHeight w:val="759"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2424"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C42002B010</w:t>
            </w:r>
          </w:p>
        </w:tc>
        <w:tc>
          <w:tcPr>
            <w:tcW w:w="1780"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企业事业单位或者其他组织、个体工商户提供不真实或者不完整统计资料的</w:t>
            </w:r>
          </w:p>
        </w:tc>
        <w:tc>
          <w:tcPr>
            <w:tcW w:w="748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（二）提供不真实或者不完整的统计资料的；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差错数额达到适用普通程序的统计行政处罚标准、差错率超过30%小于等于60%的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对企业事业单位或者其他组织给予“警告并处1万元以上2万元以下罚款”；对个体工商户给予“警告并处1000元以上3000元以下罚款”。</w:t>
            </w:r>
          </w:p>
        </w:tc>
      </w:tr>
      <w:tr>
        <w:tblPrEx>
          <w:tblLayout w:type="fixed"/>
          <w:tblCellMar>
            <w:top w:w="0" w:type="dxa"/>
            <w:left w:w="108" w:type="dxa"/>
            <w:bottom w:w="0" w:type="dxa"/>
            <w:right w:w="108" w:type="dxa"/>
          </w:tblCellMar>
        </w:tblPrEx>
        <w:trPr>
          <w:gridAfter w:val="1"/>
          <w:wAfter w:w="852" w:type="dxa"/>
          <w:cantSplit/>
          <w:trHeight w:val="2229"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C42002B020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差错数额达到适用普通程序的统计行政处罚标准、差错率超过60%小于等于90%的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对企业事业单位或者其他组织给予“警告并处2万元以上3万元以下罚款”；对个体工商户给予“警告并处3000元以上5000元以下罚款”。</w:t>
            </w:r>
          </w:p>
        </w:tc>
      </w:tr>
      <w:tr>
        <w:tblPrEx>
          <w:tblLayout w:type="fixed"/>
          <w:tblCellMar>
            <w:top w:w="0" w:type="dxa"/>
            <w:left w:w="108" w:type="dxa"/>
            <w:bottom w:w="0" w:type="dxa"/>
            <w:right w:w="108" w:type="dxa"/>
          </w:tblCellMar>
        </w:tblPrEx>
        <w:trPr>
          <w:gridAfter w:val="1"/>
          <w:wAfter w:w="852" w:type="dxa"/>
          <w:cantSplit/>
          <w:trHeight w:val="2784"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C42002B030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差错数额达到适用普通程序的统计行政处罚标准、差错率超过90%的；或存在主观故意且导致主要经济指标差错率在60%以下的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对企业事业单位或者其他组织给予“警告并处3万元以上5万元以下罚款”；对个体工商户给予“警告并处5000元以上1万元以下罚款”。</w:t>
            </w:r>
          </w:p>
        </w:tc>
      </w:tr>
      <w:tr>
        <w:tblPrEx>
          <w:tblLayout w:type="fixed"/>
          <w:tblCellMar>
            <w:top w:w="0" w:type="dxa"/>
            <w:left w:w="108" w:type="dxa"/>
            <w:bottom w:w="0" w:type="dxa"/>
            <w:right w:w="108" w:type="dxa"/>
          </w:tblCellMar>
        </w:tblPrEx>
        <w:trPr>
          <w:gridAfter w:val="1"/>
          <w:wAfter w:w="852" w:type="dxa"/>
          <w:cantSplit/>
          <w:trHeight w:val="732"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3846"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C42002A010</w:t>
            </w:r>
          </w:p>
        </w:tc>
        <w:tc>
          <w:tcPr>
            <w:tcW w:w="1780"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企业事业单位或者其他组织、个体工商户提供不真实或者不完整统计资料的</w:t>
            </w:r>
          </w:p>
        </w:tc>
        <w:tc>
          <w:tcPr>
            <w:tcW w:w="748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第</w:t>
            </w:r>
            <w:r>
              <w:rPr>
                <w:rFonts w:hint="eastAsia" w:ascii="宋体" w:hAnsi="宋体" w:cs="宋体"/>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（二）提供不真实或者不完整的统计资料的；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企业事业单位或者其他组织有前款所列行为之一的，可以并处五万元以下的罚款；情节严重的，并处五万元以上二十万元以下的罚款。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差错数额达到适用普通程序的统计行政处罚标准、存在主观故意且导致主要经济指标</w:t>
            </w:r>
            <w:r>
              <w:rPr>
                <w:rFonts w:hint="eastAsia" w:ascii="宋体" w:hAnsi="宋体" w:cs="宋体"/>
                <w:kern w:val="0"/>
                <w:sz w:val="20"/>
                <w:szCs w:val="20"/>
              </w:rPr>
              <w:t>差错率在</w:t>
            </w:r>
            <w:r>
              <w:rPr>
                <w:rFonts w:hint="eastAsia" w:ascii="宋体" w:hAnsi="宋体" w:cs="宋体"/>
                <w:color w:val="000000"/>
                <w:kern w:val="0"/>
                <w:sz w:val="20"/>
                <w:szCs w:val="20"/>
              </w:rPr>
              <w:t>60%以上90%以下的；</w:t>
            </w:r>
            <w:r>
              <w:rPr>
                <w:rFonts w:hint="eastAsia" w:ascii="宋体" w:hAnsi="宋体" w:eastAsia="宋体" w:cs="宋体"/>
                <w:color w:val="000000"/>
                <w:kern w:val="0"/>
                <w:sz w:val="20"/>
                <w:szCs w:val="20"/>
                <w:lang w:eastAsia="zh-CN"/>
              </w:rPr>
              <w:t>或者主要经济指标违法数额巨大的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Layout w:type="fixed"/>
          <w:tblCellMar>
            <w:top w:w="0" w:type="dxa"/>
            <w:left w:w="108" w:type="dxa"/>
            <w:bottom w:w="0" w:type="dxa"/>
            <w:right w:w="108" w:type="dxa"/>
          </w:tblCellMar>
        </w:tblPrEx>
        <w:trPr>
          <w:gridAfter w:val="1"/>
          <w:wAfter w:w="852" w:type="dxa"/>
          <w:cantSplit/>
          <w:trHeight w:val="1473"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C42002A020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top"/>
          </w:tcPr>
          <w:p>
            <w:pPr>
              <w:widowControl/>
              <w:rPr>
                <w:rFonts w:hint="eastAsia" w:eastAsia="宋体"/>
                <w:lang w:eastAsia="zh-CN"/>
              </w:rPr>
            </w:pPr>
            <w:r>
              <w:rPr>
                <w:rFonts w:hint="eastAsia"/>
              </w:rPr>
              <w:t>差错数额达到适用普通程序的统计行政处罚标准、存在主观故意且导致主要经济指标差错率在90%以上的</w:t>
            </w:r>
            <w:r>
              <w:rPr>
                <w:rFonts w:hint="eastAsia"/>
                <w:lang w:eastAsia="zh-CN"/>
              </w:rPr>
              <w:t>；</w:t>
            </w:r>
            <w:r>
              <w:rPr>
                <w:rFonts w:hint="eastAsia" w:ascii="宋体" w:hAnsi="宋体" w:eastAsia="宋体" w:cs="宋体"/>
                <w:color w:val="000000"/>
                <w:kern w:val="0"/>
                <w:sz w:val="20"/>
                <w:szCs w:val="20"/>
                <w:lang w:eastAsia="zh-CN"/>
              </w:rPr>
              <w:t>或者主要经济指标违法数额巨大的</w:t>
            </w:r>
          </w:p>
          <w:p>
            <w:pPr>
              <w:pStyle w:val="3"/>
            </w:pP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Layout w:type="fixed"/>
          <w:tblCellMar>
            <w:top w:w="0" w:type="dxa"/>
            <w:left w:w="108" w:type="dxa"/>
            <w:bottom w:w="0" w:type="dxa"/>
            <w:right w:w="108" w:type="dxa"/>
          </w:tblCellMar>
        </w:tblPrEx>
        <w:trPr>
          <w:gridAfter w:val="1"/>
          <w:wAfter w:w="852" w:type="dxa"/>
          <w:cantSplit/>
          <w:trHeight w:val="534"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4118"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C42003C000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企业事业单位或者其他组织、个体工商户拒绝答复或者不如实答复统计检查查询书的</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（三）拒绝答复或者不如实答复统计检查查询书的；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不如实答复统计检查查询书的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对企业事业单位或者其他组织给予“警告”或者“警告并处2万元以下罚款”；对个体工商户给予“警告”或者“警告并处2000元以下罚款”。</w:t>
            </w:r>
          </w:p>
        </w:tc>
      </w:tr>
      <w:tr>
        <w:tblPrEx>
          <w:tblLayout w:type="fixed"/>
          <w:tblCellMar>
            <w:top w:w="0" w:type="dxa"/>
            <w:left w:w="108" w:type="dxa"/>
            <w:bottom w:w="0" w:type="dxa"/>
            <w:right w:w="108" w:type="dxa"/>
          </w:tblCellMar>
        </w:tblPrEx>
        <w:trPr>
          <w:gridAfter w:val="1"/>
          <w:wAfter w:w="852" w:type="dxa"/>
          <w:cantSplit/>
          <w:trHeight w:val="3453"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C42003B000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企业事业单位或者其他组织、个体工商户拒绝答复或者不如实答复统计检查查询书的</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（三）拒绝答复或者不如实答复统计检查查询书的；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拒绝答复统计检查查询书的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对企业事业单位或者其他组织给予“警告并处2万元以上5万元以下罚款”；对个体工商户给予“警告并处2000元以上1万元以下罚款”。</w:t>
            </w:r>
          </w:p>
        </w:tc>
      </w:tr>
      <w:tr>
        <w:tblPrEx>
          <w:tblLayout w:type="fixed"/>
          <w:tblCellMar>
            <w:top w:w="0" w:type="dxa"/>
            <w:left w:w="108" w:type="dxa"/>
            <w:bottom w:w="0" w:type="dxa"/>
            <w:right w:w="108" w:type="dxa"/>
          </w:tblCellMar>
        </w:tblPrEx>
        <w:trPr>
          <w:gridAfter w:val="1"/>
          <w:wAfter w:w="852" w:type="dxa"/>
          <w:cantSplit/>
          <w:trHeight w:val="618"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2673"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C42003A010</w:t>
            </w:r>
          </w:p>
        </w:tc>
        <w:tc>
          <w:tcPr>
            <w:tcW w:w="1780"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企业事业单位或者其他组织拒绝答复或者不如实答复统计检查查询书的</w:t>
            </w:r>
          </w:p>
        </w:tc>
        <w:tc>
          <w:tcPr>
            <w:tcW w:w="748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第</w:t>
            </w:r>
            <w:r>
              <w:rPr>
                <w:rFonts w:hint="eastAsia" w:ascii="宋体" w:hAnsi="宋体" w:cs="宋体"/>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（三）拒绝答复或者不如实答复统计检查查询书的；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企业事业单位或者其他组织有前款所列行为之一的，可以并处五万元以下的罚款；情节严重的，并处五万元以上二十万元以下的罚款。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拒绝答复或者不如实答复统计检查查询书，1年内被责令改正3次以上的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Layout w:type="fixed"/>
          <w:tblCellMar>
            <w:top w:w="0" w:type="dxa"/>
            <w:left w:w="108" w:type="dxa"/>
            <w:bottom w:w="0" w:type="dxa"/>
            <w:right w:w="108" w:type="dxa"/>
          </w:tblCellMar>
        </w:tblPrEx>
        <w:trPr>
          <w:gridAfter w:val="1"/>
          <w:wAfter w:w="852" w:type="dxa"/>
          <w:cantSplit/>
          <w:trHeight w:val="1827"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C42003A020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拒绝答复或者不如实答复统计检查查询书，造成严重后果或者恶劣影响的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Layout w:type="fixed"/>
          <w:tblCellMar>
            <w:top w:w="0" w:type="dxa"/>
            <w:left w:w="108" w:type="dxa"/>
            <w:bottom w:w="0" w:type="dxa"/>
            <w:right w:w="108" w:type="dxa"/>
          </w:tblCellMar>
        </w:tblPrEx>
        <w:trPr>
          <w:gridAfter w:val="1"/>
          <w:wAfter w:w="852" w:type="dxa"/>
          <w:cantSplit/>
          <w:trHeight w:val="3153"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C42004C000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企业事业单位或者其他组织、个体工商户拒绝、阻碍统计调查、统计</w:t>
            </w:r>
            <w:r>
              <w:rPr>
                <w:rFonts w:hint="eastAsia" w:ascii="宋体" w:hAnsi="宋体" w:cs="宋体"/>
                <w:kern w:val="0"/>
                <w:sz w:val="20"/>
                <w:szCs w:val="20"/>
                <w:lang w:eastAsia="zh-CN"/>
              </w:rPr>
              <w:t>监督</w:t>
            </w:r>
            <w:r>
              <w:rPr>
                <w:rFonts w:hint="eastAsia" w:ascii="宋体" w:hAnsi="宋体" w:cs="宋体"/>
                <w:kern w:val="0"/>
                <w:sz w:val="20"/>
                <w:szCs w:val="20"/>
              </w:rPr>
              <w:t>检查的</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（四）拒绝、阻碍统计调查、统计检查的；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阻碍统计调查、统计</w:t>
            </w:r>
            <w:r>
              <w:rPr>
                <w:rFonts w:hint="eastAsia" w:ascii="宋体" w:hAnsi="宋体" w:cs="宋体"/>
                <w:kern w:val="0"/>
                <w:sz w:val="20"/>
                <w:szCs w:val="20"/>
                <w:lang w:eastAsia="zh-CN"/>
              </w:rPr>
              <w:t>监督</w:t>
            </w:r>
            <w:r>
              <w:rPr>
                <w:rFonts w:hint="eastAsia" w:ascii="宋体" w:hAnsi="宋体" w:cs="宋体"/>
                <w:kern w:val="0"/>
                <w:sz w:val="20"/>
                <w:szCs w:val="20"/>
              </w:rPr>
              <w:t>检查的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对企业事业单位或者其他组织给予“警告”或者“警告并处2万元以下罚款”；对个体工商户给予“警告”或者“警告并处2000元以下罚款”。</w:t>
            </w:r>
          </w:p>
        </w:tc>
      </w:tr>
      <w:tr>
        <w:tblPrEx>
          <w:tblLayout w:type="fixed"/>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C42004B000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企业事业单位或者其他组织、个体工商户拒绝、阻碍统计调查、统计</w:t>
            </w:r>
            <w:r>
              <w:rPr>
                <w:rFonts w:hint="eastAsia" w:ascii="宋体" w:hAnsi="宋体" w:cs="宋体"/>
                <w:kern w:val="0"/>
                <w:sz w:val="20"/>
                <w:szCs w:val="20"/>
                <w:lang w:eastAsia="zh-CN"/>
              </w:rPr>
              <w:t>监督</w:t>
            </w:r>
            <w:r>
              <w:rPr>
                <w:rFonts w:hint="eastAsia" w:ascii="宋体" w:hAnsi="宋体" w:cs="宋体"/>
                <w:kern w:val="0"/>
                <w:sz w:val="20"/>
                <w:szCs w:val="20"/>
              </w:rPr>
              <w:t>检查的</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（四）拒绝、阻碍统计调查、统计检查的；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拒绝统计调查、统计</w:t>
            </w:r>
            <w:r>
              <w:rPr>
                <w:rFonts w:hint="eastAsia" w:ascii="宋体" w:hAnsi="宋体" w:cs="宋体"/>
                <w:kern w:val="0"/>
                <w:sz w:val="20"/>
                <w:szCs w:val="20"/>
                <w:lang w:eastAsia="zh-CN"/>
              </w:rPr>
              <w:t>监督</w:t>
            </w:r>
            <w:r>
              <w:rPr>
                <w:rFonts w:hint="eastAsia" w:ascii="宋体" w:hAnsi="宋体" w:cs="宋体"/>
                <w:kern w:val="0"/>
                <w:sz w:val="20"/>
                <w:szCs w:val="20"/>
              </w:rPr>
              <w:t>检查的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对企业事业单位或者其他组织给予“警告并处2万元以上5万元以下罚款”；对个体工商户给予“警告并处2000元以上1万元以下罚款”。</w:t>
            </w:r>
          </w:p>
        </w:tc>
      </w:tr>
      <w:tr>
        <w:tblPrEx>
          <w:tblLayout w:type="fixed"/>
          <w:tblCellMar>
            <w:top w:w="0" w:type="dxa"/>
            <w:left w:w="108" w:type="dxa"/>
            <w:bottom w:w="0" w:type="dxa"/>
            <w:right w:w="108" w:type="dxa"/>
          </w:tblCellMar>
        </w:tblPrEx>
        <w:trPr>
          <w:gridAfter w:val="1"/>
          <w:wAfter w:w="852" w:type="dxa"/>
          <w:cantSplit/>
          <w:trHeight w:val="2013"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C42004A010</w:t>
            </w:r>
          </w:p>
        </w:tc>
        <w:tc>
          <w:tcPr>
            <w:tcW w:w="1780"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企业事业单位或者其他组织拒绝、阻碍统计调查、统计</w:t>
            </w:r>
            <w:r>
              <w:rPr>
                <w:rFonts w:hint="eastAsia" w:ascii="宋体" w:hAnsi="宋体" w:cs="宋体"/>
                <w:color w:val="000000"/>
                <w:kern w:val="0"/>
                <w:sz w:val="20"/>
                <w:szCs w:val="20"/>
                <w:lang w:eastAsia="zh-CN"/>
              </w:rPr>
              <w:t>监督</w:t>
            </w:r>
            <w:r>
              <w:rPr>
                <w:rFonts w:hint="eastAsia" w:ascii="宋体" w:hAnsi="宋体" w:cs="宋体"/>
                <w:color w:val="000000"/>
                <w:kern w:val="0"/>
                <w:sz w:val="20"/>
                <w:szCs w:val="20"/>
              </w:rPr>
              <w:t>检查的</w:t>
            </w:r>
          </w:p>
        </w:tc>
        <w:tc>
          <w:tcPr>
            <w:tcW w:w="748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第</w:t>
            </w:r>
            <w:r>
              <w:rPr>
                <w:rFonts w:hint="eastAsia" w:ascii="宋体" w:hAnsi="宋体" w:cs="宋体"/>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（四）拒绝、阻碍统计调查、统计检查的；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拒绝、阻碍统计调查、统计</w:t>
            </w:r>
            <w:r>
              <w:rPr>
                <w:rFonts w:hint="eastAsia" w:ascii="宋体" w:hAnsi="宋体" w:cs="宋体"/>
                <w:color w:val="000000"/>
                <w:kern w:val="0"/>
                <w:sz w:val="20"/>
                <w:szCs w:val="20"/>
                <w:lang w:eastAsia="zh-CN"/>
              </w:rPr>
              <w:t>监督</w:t>
            </w:r>
            <w:r>
              <w:rPr>
                <w:rFonts w:hint="eastAsia" w:ascii="宋体" w:hAnsi="宋体" w:cs="宋体"/>
                <w:color w:val="000000"/>
                <w:kern w:val="0"/>
                <w:sz w:val="20"/>
                <w:szCs w:val="20"/>
              </w:rPr>
              <w:t>检查，1年内被责令改正3次以上的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Layout w:type="fixed"/>
          <w:tblCellMar>
            <w:top w:w="0" w:type="dxa"/>
            <w:left w:w="108" w:type="dxa"/>
            <w:bottom w:w="0" w:type="dxa"/>
            <w:right w:w="108" w:type="dxa"/>
          </w:tblCellMar>
        </w:tblPrEx>
        <w:trPr>
          <w:gridAfter w:val="1"/>
          <w:wAfter w:w="852" w:type="dxa"/>
          <w:cantSplit/>
          <w:trHeight w:val="2763"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C42004A020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使用暴力或者威胁方法拒绝、阻碍统计调查、统计监督检查，或者拒绝、阻碍统计调查、统计监督检查，严重影响相关工作正常开展的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Layout w:type="fixed"/>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3315"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C42005C000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企业事业单位或者其他组织、个体工商户转移、隐匿、篡改、毁弃或者拒绝提供原始记录和凭证、统计台账、统计调查表及其他相关证明和资料的</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（五）转移、隐匿、篡改、毁弃或者拒绝提供原始记录和凭证、统计台账、统计调查表及其他相关证明和资料的。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未对查清事实造成直接影响的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对企业事业单位或者其他组织给予“警告”或者“警告并处2万元以下罚款”；对个体工商户给予“警告”或者“警告并处2000元以下罚款”。</w:t>
            </w:r>
          </w:p>
        </w:tc>
      </w:tr>
      <w:tr>
        <w:tblPrEx>
          <w:tblLayout w:type="fixed"/>
          <w:tblCellMar>
            <w:top w:w="0" w:type="dxa"/>
            <w:left w:w="108" w:type="dxa"/>
            <w:bottom w:w="0" w:type="dxa"/>
            <w:right w:w="108" w:type="dxa"/>
          </w:tblCellMar>
        </w:tblPrEx>
        <w:trPr>
          <w:gridAfter w:val="1"/>
          <w:wAfter w:w="852" w:type="dxa"/>
          <w:cantSplit/>
          <w:trHeight w:val="4005"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C42005B000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企业事业单位或者其他组织、个体工商户转移、隐匿、篡改、毁弃或者拒绝提供原始记录和凭证、统计台账、统计调查表及其他相关证明和资料的</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（五）转移、隐匿、篡改、毁弃或者拒绝提供原始记录和凭证、统计台账、统计调查表及其他相关证明和资料的。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对查清事实造成直接影响的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对企业事业单位或者其他组织给予“警告并处2万元以上5万元以下罚款”；对个体工商户给予“警告并处2000元以上1万元以下罚款”。</w:t>
            </w:r>
          </w:p>
        </w:tc>
      </w:tr>
      <w:tr>
        <w:tblPrEx>
          <w:tblLayout w:type="fixed"/>
          <w:tblCellMar>
            <w:top w:w="0" w:type="dxa"/>
            <w:left w:w="108" w:type="dxa"/>
            <w:bottom w:w="0" w:type="dxa"/>
            <w:right w:w="108" w:type="dxa"/>
          </w:tblCellMar>
        </w:tblPrEx>
        <w:trPr>
          <w:gridAfter w:val="1"/>
          <w:wAfter w:w="852" w:type="dxa"/>
          <w:cantSplit/>
          <w:trHeight w:val="90"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90"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C42005A010</w:t>
            </w:r>
          </w:p>
        </w:tc>
        <w:tc>
          <w:tcPr>
            <w:tcW w:w="1780"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企业事业单位或者其他组织转移、隐匿、篡改、毁弃或者拒绝提供原始记录和凭证、统计台账、统计调查表及其他相关证明和资料的</w:t>
            </w:r>
          </w:p>
        </w:tc>
        <w:tc>
          <w:tcPr>
            <w:tcW w:w="748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第</w:t>
            </w:r>
            <w:r>
              <w:rPr>
                <w:rFonts w:hint="eastAsia" w:ascii="宋体" w:hAnsi="宋体" w:cs="宋体"/>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（五）转移、隐匿、篡改、毁弃或者拒绝提供原始记录和凭证、统计台账、统计调查表及其他相关证明和资料的。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企业事业单位或者其他组织有前款所列行为之一的，可以并处五万元以下的罚款；情节严重的，并处五万元以上二十万元以下的罚款。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该行为1年内被责令改正3次以上的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Layout w:type="fixed"/>
          <w:tblCellMar>
            <w:top w:w="0" w:type="dxa"/>
            <w:left w:w="108" w:type="dxa"/>
            <w:bottom w:w="0" w:type="dxa"/>
            <w:right w:w="108" w:type="dxa"/>
          </w:tblCellMar>
        </w:tblPrEx>
        <w:trPr>
          <w:gridAfter w:val="1"/>
          <w:wAfter w:w="852" w:type="dxa"/>
          <w:cantSplit/>
          <w:trHeight w:val="1380"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C42005A020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严重影响相关工作正常开展的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Layout w:type="fixed"/>
          <w:tblCellMar>
            <w:top w:w="0" w:type="dxa"/>
            <w:left w:w="108" w:type="dxa"/>
            <w:bottom w:w="0" w:type="dxa"/>
            <w:right w:w="108" w:type="dxa"/>
          </w:tblCellMar>
        </w:tblPrEx>
        <w:trPr>
          <w:gridAfter w:val="1"/>
          <w:wAfter w:w="852" w:type="dxa"/>
          <w:cantSplit/>
          <w:trHeight w:val="2523"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C42008C000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企业事业组织、个体经营户拒绝或者妨碍接受经济普查机构、经济普查人员依法进行的调查的</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r>
              <w:rPr>
                <w:rFonts w:hint="eastAsia" w:ascii="宋体" w:hAnsi="宋体" w:cs="宋体"/>
                <w:kern w:val="0"/>
                <w:sz w:val="20"/>
                <w:szCs w:val="20"/>
              </w:rPr>
              <w:br w:type="textWrapping"/>
            </w:r>
            <w:r>
              <w:rPr>
                <w:rFonts w:hint="eastAsia" w:ascii="宋体" w:hAnsi="宋体" w:cs="宋体"/>
                <w:kern w:val="0"/>
                <w:sz w:val="20"/>
                <w:szCs w:val="20"/>
              </w:rPr>
              <w:t>　　（一）拒绝或者妨碍接受经济普查机构、经济普查人员依法进行的调查的；</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个体经营户有本条第一款所列行为之一的，由县级以上人民政府统计机构责令改正，给予警告，可以并处1万元以下的罚款。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妨碍接受经济普查机构、经济普查人员依法进行的调查的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对企业事业单位或者其他组织给予“警告”或者“警告并处2万元以下罚款”；对个体经营户给予“警告”或者“警告并处2000元以下罚款”。</w:t>
            </w:r>
          </w:p>
        </w:tc>
      </w:tr>
      <w:tr>
        <w:tblPrEx>
          <w:tblLayout w:type="fixed"/>
          <w:tblCellMar>
            <w:top w:w="0" w:type="dxa"/>
            <w:left w:w="108" w:type="dxa"/>
            <w:bottom w:w="0" w:type="dxa"/>
            <w:right w:w="108" w:type="dxa"/>
          </w:tblCellMar>
        </w:tblPrEx>
        <w:trPr>
          <w:gridAfter w:val="1"/>
          <w:wAfter w:w="852" w:type="dxa"/>
          <w:cantSplit/>
          <w:trHeight w:val="2046"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C42008B000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企业事业组织、个体经营户拒绝或者妨碍接受经济普查机构、经济普查人员依法进行的调查的</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r>
              <w:rPr>
                <w:rFonts w:hint="eastAsia" w:ascii="宋体" w:hAnsi="宋体" w:cs="宋体"/>
                <w:kern w:val="0"/>
                <w:sz w:val="20"/>
                <w:szCs w:val="20"/>
              </w:rPr>
              <w:br w:type="textWrapping"/>
            </w:r>
            <w:r>
              <w:rPr>
                <w:rFonts w:hint="eastAsia" w:ascii="宋体" w:hAnsi="宋体" w:cs="宋体"/>
                <w:kern w:val="0"/>
                <w:sz w:val="20"/>
                <w:szCs w:val="20"/>
              </w:rPr>
              <w:t>　　（一）拒绝或者妨碍接受经济普查机构、经济普查人员依法进行的调查的；</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个体经营户有本条第一款所列行为之一的，由县级以上人民政府统计机构责令改正，给予警告，可以并处1万元以下的罚款。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拒绝接受经济普查机构、经济普查人员依法进行的调查的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 2万元以上5万元以下罚款”；对个体经营户给予“警告并处2000元以上1万元以下罚款”。</w:t>
            </w:r>
          </w:p>
        </w:tc>
      </w:tr>
      <w:tr>
        <w:tblPrEx>
          <w:tblLayout w:type="fixed"/>
          <w:tblCellMar>
            <w:top w:w="0" w:type="dxa"/>
            <w:left w:w="108" w:type="dxa"/>
            <w:bottom w:w="0" w:type="dxa"/>
            <w:right w:w="108" w:type="dxa"/>
          </w:tblCellMar>
        </w:tblPrEx>
        <w:trPr>
          <w:gridAfter w:val="1"/>
          <w:wAfter w:w="852" w:type="dxa"/>
          <w:cantSplit/>
          <w:trHeight w:val="783"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1758"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C42008A010</w:t>
            </w:r>
          </w:p>
        </w:tc>
        <w:tc>
          <w:tcPr>
            <w:tcW w:w="1780"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企业事业组织、个体经营户拒绝或者妨碍接受经济普查机构、经济普查人员依法进行的调查的</w:t>
            </w:r>
          </w:p>
        </w:tc>
        <w:tc>
          <w:tcPr>
            <w:tcW w:w="748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r>
              <w:rPr>
                <w:rFonts w:hint="eastAsia" w:ascii="宋体" w:hAnsi="宋体" w:cs="宋体"/>
                <w:kern w:val="0"/>
                <w:sz w:val="20"/>
                <w:szCs w:val="20"/>
              </w:rPr>
              <w:br w:type="textWrapping"/>
            </w:r>
            <w:r>
              <w:rPr>
                <w:rFonts w:hint="eastAsia" w:ascii="宋体" w:hAnsi="宋体" w:cs="宋体"/>
                <w:kern w:val="0"/>
                <w:sz w:val="20"/>
                <w:szCs w:val="20"/>
              </w:rPr>
              <w:t>　　（一）拒绝或者妨碍接受经济普查机构、经济普查人员依法进行的调查的；</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p>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1年内被责令改正3次以上的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Layout w:type="fixed"/>
          <w:tblCellMar>
            <w:top w:w="0" w:type="dxa"/>
            <w:left w:w="108" w:type="dxa"/>
            <w:bottom w:w="0" w:type="dxa"/>
            <w:right w:w="108" w:type="dxa"/>
          </w:tblCellMar>
        </w:tblPrEx>
        <w:trPr>
          <w:gridAfter w:val="1"/>
          <w:wAfter w:w="852" w:type="dxa"/>
          <w:cantSplit/>
          <w:trHeight w:val="2958"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C42008A020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使用暴力或者威胁方法拒绝、阻碍统计调查、统计监督检查，或者拒绝、阻碍统计调查、统计监督检查，严重影响相关工作正常开展的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Layout w:type="fixed"/>
          <w:tblCellMar>
            <w:top w:w="0" w:type="dxa"/>
            <w:left w:w="108" w:type="dxa"/>
            <w:bottom w:w="0" w:type="dxa"/>
            <w:right w:w="108" w:type="dxa"/>
          </w:tblCellMar>
        </w:tblPrEx>
        <w:trPr>
          <w:gridAfter w:val="1"/>
          <w:wAfter w:w="852" w:type="dxa"/>
          <w:cantSplit/>
          <w:trHeight w:val="2181"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C42009C000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企业事业组织、个体经营户提供虚假或者不完整经济普查资料的</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hint="eastAsia" w:ascii="宋体" w:hAnsi="宋体" w:cs="宋体"/>
                <w:kern w:val="0"/>
                <w:sz w:val="20"/>
                <w:szCs w:val="20"/>
              </w:rPr>
              <w:br w:type="textWrapping"/>
            </w:r>
            <w:r>
              <w:rPr>
                <w:rFonts w:hint="eastAsia" w:ascii="宋体" w:hAnsi="宋体" w:cs="宋体"/>
                <w:kern w:val="0"/>
                <w:sz w:val="20"/>
                <w:szCs w:val="20"/>
              </w:rPr>
              <w:t>　　（二）提供虚假或者不完整的经济普查资料的；　　</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个体经营户有本条第一款所列行为之一的，由县级以上人民政府统计机构责令改正，给予警告，可以并处1万元以下的罚款。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差错数额达到适用普通程序的统计行政处罚标准、差错率在30%以下的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对企业事业单位或者其他组织给予“警告者或警告并处1万元以下罚款”；对个体经营户给予“警告或者警告并处1000元以下罚款”。</w:t>
            </w:r>
          </w:p>
        </w:tc>
      </w:tr>
      <w:tr>
        <w:tblPrEx>
          <w:tblLayout w:type="fixed"/>
          <w:tblCellMar>
            <w:top w:w="0" w:type="dxa"/>
            <w:left w:w="108" w:type="dxa"/>
            <w:bottom w:w="0" w:type="dxa"/>
            <w:right w:w="108" w:type="dxa"/>
          </w:tblCellMar>
        </w:tblPrEx>
        <w:trPr>
          <w:gridAfter w:val="1"/>
          <w:wAfter w:w="852" w:type="dxa"/>
          <w:cantSplit/>
          <w:trHeight w:val="681"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2034"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C42009B010</w:t>
            </w:r>
          </w:p>
        </w:tc>
        <w:tc>
          <w:tcPr>
            <w:tcW w:w="1780"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企业事业组织、个体经营户提供虚假或者不完整经济普查资料的</w:t>
            </w:r>
          </w:p>
        </w:tc>
        <w:tc>
          <w:tcPr>
            <w:tcW w:w="748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hint="eastAsia" w:ascii="宋体" w:hAnsi="宋体" w:cs="宋体"/>
                <w:kern w:val="0"/>
                <w:sz w:val="20"/>
                <w:szCs w:val="20"/>
              </w:rPr>
              <w:br w:type="textWrapping"/>
            </w:r>
            <w:r>
              <w:rPr>
                <w:rFonts w:hint="eastAsia" w:ascii="宋体" w:hAnsi="宋体" w:cs="宋体"/>
                <w:kern w:val="0"/>
                <w:sz w:val="20"/>
                <w:szCs w:val="20"/>
              </w:rPr>
              <w:t>　　（二）提供虚假或者不完整的经济普查资料的；　</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个体经营户有本条第一款所列行为之一的，由县级以上人民政府统计机构责令改正，给予警告，可以并处1万元以下的罚款。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差错数额达到适用普通程序的统计行政处罚标准、差错率超过30%小于等于60%的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对企业事业单位或者其他组织给予“警告并处1万元以上2万元以下罚款”；对个体经营户给予“警告并处1000元以上3000元以下罚款”。</w:t>
            </w:r>
          </w:p>
        </w:tc>
      </w:tr>
      <w:tr>
        <w:tblPrEx>
          <w:tblLayout w:type="fixed"/>
          <w:tblCellMar>
            <w:top w:w="0" w:type="dxa"/>
            <w:left w:w="108" w:type="dxa"/>
            <w:bottom w:w="0" w:type="dxa"/>
            <w:right w:w="108" w:type="dxa"/>
          </w:tblCellMar>
        </w:tblPrEx>
        <w:trPr>
          <w:gridAfter w:val="1"/>
          <w:wAfter w:w="852" w:type="dxa"/>
          <w:cantSplit/>
          <w:trHeight w:val="2082"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C42009B020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差错数额达到适用普通程序的统计行政处罚标准、差错率超过60%小于等于90%的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对企业事业单位或者其他组织给予“警告并处2万元以上3万元以下罚款”；对个体经营户给予“警告并处3000元以上5000元以下罚款”。</w:t>
            </w:r>
          </w:p>
        </w:tc>
      </w:tr>
      <w:tr>
        <w:tblPrEx>
          <w:tblLayout w:type="fixed"/>
          <w:tblCellMar>
            <w:top w:w="0" w:type="dxa"/>
            <w:left w:w="108" w:type="dxa"/>
            <w:bottom w:w="0" w:type="dxa"/>
            <w:right w:w="108" w:type="dxa"/>
          </w:tblCellMar>
        </w:tblPrEx>
        <w:trPr>
          <w:gridAfter w:val="1"/>
          <w:wAfter w:w="852" w:type="dxa"/>
          <w:cantSplit/>
          <w:trHeight w:val="3109"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C42009B030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差错数额达到适用普通程序的统计行政处罚标准、差错率超过90%；或存在主观故意且导致主要经济指标差错率在60%以下的；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对企业事业单位或者其他组织给予“警告并处3万元以上5万元以下罚款”；对个体经营户给予“警告并处5000元以上1万元以下罚款”。</w:t>
            </w:r>
          </w:p>
        </w:tc>
      </w:tr>
      <w:tr>
        <w:tblPrEx>
          <w:tblLayout w:type="fixed"/>
          <w:tblCellMar>
            <w:top w:w="0" w:type="dxa"/>
            <w:left w:w="108" w:type="dxa"/>
            <w:bottom w:w="0" w:type="dxa"/>
            <w:right w:w="108" w:type="dxa"/>
          </w:tblCellMar>
        </w:tblPrEx>
        <w:trPr>
          <w:gridAfter w:val="1"/>
          <w:wAfter w:w="852" w:type="dxa"/>
          <w:cantSplit/>
          <w:trHeight w:val="90"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3078"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C42009A010</w:t>
            </w:r>
          </w:p>
        </w:tc>
        <w:tc>
          <w:tcPr>
            <w:tcW w:w="1780"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企业事业组织、个体经营户提供虚假或者不完整经济普查资料的</w:t>
            </w:r>
          </w:p>
        </w:tc>
        <w:tc>
          <w:tcPr>
            <w:tcW w:w="748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hint="eastAsia" w:ascii="宋体" w:hAnsi="宋体" w:cs="宋体"/>
                <w:kern w:val="0"/>
                <w:sz w:val="20"/>
                <w:szCs w:val="20"/>
              </w:rPr>
              <w:br w:type="textWrapping"/>
            </w:r>
            <w:r>
              <w:rPr>
                <w:rFonts w:hint="eastAsia" w:ascii="宋体" w:hAnsi="宋体" w:cs="宋体"/>
                <w:kern w:val="0"/>
                <w:sz w:val="20"/>
                <w:szCs w:val="20"/>
              </w:rPr>
              <w:t>　　（二）提供虚假或者不完整的经济普查资料的；　　</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差错数额达到适用普通程序的统计行政处罚标准，存在主观故意且导致主要经济指标</w:t>
            </w:r>
            <w:r>
              <w:rPr>
                <w:rFonts w:hint="eastAsia" w:ascii="宋体" w:hAnsi="宋体" w:cs="宋体"/>
                <w:kern w:val="0"/>
                <w:sz w:val="20"/>
                <w:szCs w:val="20"/>
              </w:rPr>
              <w:t>差错率在</w:t>
            </w:r>
            <w:r>
              <w:rPr>
                <w:rFonts w:hint="eastAsia" w:ascii="宋体" w:hAnsi="宋体" w:cs="宋体"/>
                <w:color w:val="000000"/>
                <w:kern w:val="0"/>
                <w:sz w:val="20"/>
                <w:szCs w:val="20"/>
              </w:rPr>
              <w:t>60%以上90%以下的；</w:t>
            </w:r>
            <w:r>
              <w:rPr>
                <w:rFonts w:hint="eastAsia" w:ascii="宋体" w:hAnsi="宋体" w:eastAsia="宋体" w:cs="宋体"/>
                <w:color w:val="000000"/>
                <w:kern w:val="0"/>
                <w:sz w:val="20"/>
                <w:szCs w:val="20"/>
                <w:lang w:eastAsia="zh-CN"/>
              </w:rPr>
              <w:t>或者主要经济指标违法数额巨大的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对企业事业单位或者其他组织给予“警告并处5万元以上10万元以下罚款”。</w:t>
            </w:r>
          </w:p>
        </w:tc>
      </w:tr>
      <w:tr>
        <w:tblPrEx>
          <w:tblLayout w:type="fixed"/>
          <w:tblCellMar>
            <w:top w:w="0" w:type="dxa"/>
            <w:left w:w="108" w:type="dxa"/>
            <w:bottom w:w="0" w:type="dxa"/>
            <w:right w:w="108" w:type="dxa"/>
          </w:tblCellMar>
        </w:tblPrEx>
        <w:trPr>
          <w:gridAfter w:val="1"/>
          <w:wAfter w:w="852" w:type="dxa"/>
          <w:cantSplit/>
          <w:trHeight w:val="4206"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C42009A020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差错数额达到适用普通程序的统计行政处罚标准，存在主观故意且导致主要经济指标</w:t>
            </w:r>
            <w:r>
              <w:rPr>
                <w:rFonts w:hint="eastAsia" w:ascii="宋体" w:hAnsi="宋体" w:cs="宋体"/>
                <w:kern w:val="0"/>
                <w:sz w:val="20"/>
                <w:szCs w:val="20"/>
              </w:rPr>
              <w:t>差错率在</w:t>
            </w:r>
            <w:r>
              <w:rPr>
                <w:rFonts w:hint="eastAsia" w:ascii="宋体" w:hAnsi="宋体" w:cs="宋体"/>
                <w:color w:val="000000"/>
                <w:kern w:val="0"/>
                <w:sz w:val="20"/>
                <w:szCs w:val="20"/>
              </w:rPr>
              <w:t>90%以上的</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lang w:eastAsia="zh-CN"/>
              </w:rPr>
              <w:t>或者主要经济指标违法数额巨大的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对企业事业单位或者其他组织给予“警告并处10万元以上20万元以下罚款”。</w:t>
            </w:r>
          </w:p>
        </w:tc>
      </w:tr>
      <w:tr>
        <w:tblPrEx>
          <w:tblLayout w:type="fixed"/>
          <w:tblCellMar>
            <w:top w:w="0" w:type="dxa"/>
            <w:left w:w="108" w:type="dxa"/>
            <w:bottom w:w="0" w:type="dxa"/>
            <w:right w:w="108" w:type="dxa"/>
          </w:tblCellMar>
        </w:tblPrEx>
        <w:trPr>
          <w:gridAfter w:val="1"/>
          <w:wAfter w:w="852" w:type="dxa"/>
          <w:cantSplit/>
          <w:trHeight w:val="651"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Layout w:type="fixed"/>
          <w:tblCellMar>
            <w:top w:w="0" w:type="dxa"/>
            <w:left w:w="108" w:type="dxa"/>
            <w:bottom w:w="0" w:type="dxa"/>
            <w:right w:w="108" w:type="dxa"/>
          </w:tblCellMar>
        </w:tblPrEx>
        <w:trPr>
          <w:gridAfter w:val="1"/>
          <w:wAfter w:w="852" w:type="dxa"/>
          <w:cantSplit/>
          <w:trHeight w:val="2961"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C42010B000</w:t>
            </w:r>
          </w:p>
        </w:tc>
        <w:tc>
          <w:tcPr>
            <w:tcW w:w="1780"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企业事业组织、个体经营户未按时提供与经济普查有关的资料，经催报后仍未提供的</w:t>
            </w:r>
          </w:p>
        </w:tc>
        <w:tc>
          <w:tcPr>
            <w:tcW w:w="7485" w:type="dxa"/>
            <w:tcBorders>
              <w:top w:val="single" w:color="auto" w:sz="6" w:space="0"/>
              <w:left w:val="single" w:color="auto" w:sz="6" w:space="0"/>
              <w:bottom w:val="single" w:color="auto" w:sz="6" w:space="0"/>
              <w:right w:val="single" w:color="auto" w:sz="6" w:space="0"/>
            </w:tcBorders>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hint="eastAsia" w:ascii="宋体" w:hAnsi="宋体" w:cs="宋体"/>
                <w:kern w:val="0"/>
                <w:sz w:val="20"/>
                <w:szCs w:val="20"/>
              </w:rPr>
              <w:br w:type="textWrapping"/>
            </w:r>
            <w:r>
              <w:rPr>
                <w:rFonts w:hint="eastAsia" w:ascii="宋体" w:hAnsi="宋体" w:cs="宋体"/>
                <w:kern w:val="0"/>
                <w:sz w:val="20"/>
                <w:szCs w:val="20"/>
              </w:rPr>
              <w:t>　　（三）未按时提供与经济普查有关的资料，经催报后仍未提供的。</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个体经营户有本条第一款所列行为之一的，由县级以上人民政府统计机构责令改正，给予警告，可以并处1万元以下的罚款。</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超过催报规定的时限仍未提供，影响普查工作正常开展，造成不良影响的</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对企业事业单位或者其他组织给予“警告并可以处5万元以下罚款”；对个体经营户给予“警告并可以处1万元以下罚款”。</w:t>
            </w:r>
          </w:p>
        </w:tc>
      </w:tr>
      <w:tr>
        <w:tblPrEx>
          <w:tblLayout w:type="fixed"/>
          <w:tblCellMar>
            <w:top w:w="0" w:type="dxa"/>
            <w:left w:w="108" w:type="dxa"/>
            <w:bottom w:w="0" w:type="dxa"/>
            <w:right w:w="108" w:type="dxa"/>
          </w:tblCellMar>
        </w:tblPrEx>
        <w:trPr>
          <w:gridAfter w:val="1"/>
          <w:wAfter w:w="852" w:type="dxa"/>
          <w:cantSplit/>
          <w:trHeight w:val="2148"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C42010A01</w:t>
            </w:r>
          </w:p>
        </w:tc>
        <w:tc>
          <w:tcPr>
            <w:tcW w:w="1780"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企业事业组织、个体经营户未按时提供与经济普查有关的资料，经催报后仍未提供的</w:t>
            </w:r>
          </w:p>
        </w:tc>
        <w:tc>
          <w:tcPr>
            <w:tcW w:w="7485"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hint="eastAsia" w:ascii="宋体" w:hAnsi="宋体" w:cs="宋体"/>
                <w:kern w:val="0"/>
                <w:sz w:val="20"/>
                <w:szCs w:val="20"/>
              </w:rPr>
              <w:br w:type="textWrapping"/>
            </w:r>
            <w:r>
              <w:rPr>
                <w:rFonts w:hint="eastAsia" w:ascii="宋体" w:hAnsi="宋体" w:cs="宋体"/>
                <w:kern w:val="0"/>
                <w:sz w:val="20"/>
                <w:szCs w:val="20"/>
              </w:rPr>
              <w:t>　　（三）未按时提供与经济普查有关的资料，经催报后仍未提供的。</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w:t>
            </w: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超过催报规定时限仍未提供，1年内被责令改正3次以上</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Layout w:type="fixed"/>
          <w:tblCellMar>
            <w:top w:w="0" w:type="dxa"/>
            <w:left w:w="108" w:type="dxa"/>
            <w:bottom w:w="0" w:type="dxa"/>
            <w:right w:w="108" w:type="dxa"/>
          </w:tblCellMar>
        </w:tblPrEx>
        <w:trPr>
          <w:gridAfter w:val="1"/>
          <w:wAfter w:w="852" w:type="dxa"/>
          <w:cantSplit/>
          <w:trHeight w:val="2178" w:hRule="atLeast"/>
        </w:trPr>
        <w:tc>
          <w:tcPr>
            <w:tcW w:w="1295"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C42010A020</w:t>
            </w:r>
          </w:p>
        </w:tc>
        <w:tc>
          <w:tcPr>
            <w:tcW w:w="17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超过催报规定时限仍未提供，严重影响相关工作正常开展</w:t>
            </w:r>
          </w:p>
        </w:tc>
        <w:tc>
          <w:tcPr>
            <w:tcW w:w="2010"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bl>
    <w:p>
      <w:pPr>
        <w:pBdr>
          <w:between w:val="single" w:color="auto" w:sz="6" w:space="1"/>
        </w:pBdr>
        <w:tabs>
          <w:tab w:val="left" w:pos="8460"/>
        </w:tabs>
        <w:adjustRightInd w:val="0"/>
        <w:snapToGrid w:val="0"/>
        <w:spacing w:line="20" w:lineRule="exact"/>
        <w:ind w:right="374"/>
        <w:textAlignment w:val="bottom"/>
        <w:rPr>
          <w:w w:val="90"/>
          <w:sz w:val="10"/>
          <w:szCs w:val="10"/>
        </w:rPr>
        <w:sectPr>
          <w:footerReference r:id="rId5" w:type="default"/>
          <w:footerReference r:id="rId6" w:type="even"/>
          <w:pgSz w:w="16838" w:h="11906" w:orient="landscape"/>
          <w:pgMar w:top="1440" w:right="1800" w:bottom="1440" w:left="1800" w:header="851" w:footer="1191" w:gutter="0"/>
          <w:pgNumType w:fmt="decimal"/>
          <w:cols w:space="720" w:num="1"/>
          <w:docGrid w:type="lines" w:linePitch="312" w:charSpace="0"/>
        </w:sectPr>
      </w:pPr>
    </w:p>
    <w:p>
      <w:pPr>
        <w:spacing w:line="20" w:lineRule="exact"/>
        <w:jc w:val="center"/>
        <w:rPr>
          <w:w w:val="66"/>
        </w:rPr>
      </w:pPr>
    </w:p>
    <w:sectPr>
      <w:pgSz w:w="11906" w:h="16838"/>
      <w:pgMar w:top="1985"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文星标宋">
    <w:altName w:val="微软雅黑"/>
    <w:panose1 w:val="02010604000101010101"/>
    <w:charset w:val="86"/>
    <w:family w:val="auto"/>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p>
  <w:p>
    <w:pPr>
      <w:pStyle w:val="5"/>
      <w:ind w:right="210" w:rightChars="100"/>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rPr>
        <w:rFonts w:hint="eastAsia" w:ascii="宋体" w:hAnsi="宋体" w:cs="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p>
  <w:p>
    <w:pPr>
      <w:pStyle w:val="5"/>
      <w:ind w:right="210" w:rightChars="100"/>
      <w:jc w:val="right"/>
      <w:rPr>
        <w:rFonts w:hint="eastAsia" w:ascii="宋体" w:hAnsi="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noFill/>
                      </a:ln>
                    </wps:spPr>
                    <wps:txbx>
                      <w:txbxContent>
                        <w:p>
                          <w:pPr>
                            <w:pStyle w:val="5"/>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34</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9zVA0gAAAAUBAAAPAAAAAAAAAAEAIAAAACIAAABkcnMvZG93bnJldi54bWxQSwECFAAUAAAACACH&#10;TuJAZCP30bgBAABVAwAADgAAAAAAAAABACAAAAAhAQAAZHJzL2Uyb0RvYy54bWxQSwUGAAAAAAYA&#10;BgBZAQAASwUAAAAA&#10;">
              <v:fill on="f" focussize="0,0"/>
              <v:stroke on="f" weight="2.25pt"/>
              <v:imagedata o:title=""/>
              <o:lock v:ext="edit" aspectratio="f"/>
              <v:textbox inset="0mm,0mm,0mm,0mm" style="mso-fit-shape-to-text:t;">
                <w:txbxContent>
                  <w:p>
                    <w:pPr>
                      <w:pStyle w:val="5"/>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34</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7B"/>
    <w:rsid w:val="00007E0A"/>
    <w:rsid w:val="00010B05"/>
    <w:rsid w:val="000267B9"/>
    <w:rsid w:val="0003301D"/>
    <w:rsid w:val="00045CDB"/>
    <w:rsid w:val="00045F46"/>
    <w:rsid w:val="00053480"/>
    <w:rsid w:val="00056A40"/>
    <w:rsid w:val="00073FF0"/>
    <w:rsid w:val="000A48C4"/>
    <w:rsid w:val="000B6237"/>
    <w:rsid w:val="000C1526"/>
    <w:rsid w:val="000C5D66"/>
    <w:rsid w:val="000E0F03"/>
    <w:rsid w:val="000F0360"/>
    <w:rsid w:val="00101242"/>
    <w:rsid w:val="0010261E"/>
    <w:rsid w:val="00105185"/>
    <w:rsid w:val="0010520B"/>
    <w:rsid w:val="00117918"/>
    <w:rsid w:val="001226A2"/>
    <w:rsid w:val="00126DF7"/>
    <w:rsid w:val="00132EE6"/>
    <w:rsid w:val="00154D53"/>
    <w:rsid w:val="00164B67"/>
    <w:rsid w:val="00192C95"/>
    <w:rsid w:val="001950E1"/>
    <w:rsid w:val="001A207F"/>
    <w:rsid w:val="001D0475"/>
    <w:rsid w:val="001D1413"/>
    <w:rsid w:val="001E4C44"/>
    <w:rsid w:val="001E58DD"/>
    <w:rsid w:val="001F0535"/>
    <w:rsid w:val="001F3F33"/>
    <w:rsid w:val="002128FE"/>
    <w:rsid w:val="002310B5"/>
    <w:rsid w:val="002632F2"/>
    <w:rsid w:val="002649FC"/>
    <w:rsid w:val="0026703E"/>
    <w:rsid w:val="00267DD2"/>
    <w:rsid w:val="0027104A"/>
    <w:rsid w:val="00284126"/>
    <w:rsid w:val="00291AA9"/>
    <w:rsid w:val="00292162"/>
    <w:rsid w:val="002A28D6"/>
    <w:rsid w:val="002A56DE"/>
    <w:rsid w:val="002A6A7A"/>
    <w:rsid w:val="002B3D03"/>
    <w:rsid w:val="002B7035"/>
    <w:rsid w:val="002C0134"/>
    <w:rsid w:val="002C3FD0"/>
    <w:rsid w:val="002C751B"/>
    <w:rsid w:val="002D6F12"/>
    <w:rsid w:val="002E7915"/>
    <w:rsid w:val="002F20BE"/>
    <w:rsid w:val="002F626A"/>
    <w:rsid w:val="0030002F"/>
    <w:rsid w:val="00333804"/>
    <w:rsid w:val="003426E8"/>
    <w:rsid w:val="00342B8F"/>
    <w:rsid w:val="00350466"/>
    <w:rsid w:val="003536E6"/>
    <w:rsid w:val="00372D65"/>
    <w:rsid w:val="0037396A"/>
    <w:rsid w:val="0037537A"/>
    <w:rsid w:val="003769F5"/>
    <w:rsid w:val="00381179"/>
    <w:rsid w:val="00382005"/>
    <w:rsid w:val="00392EE8"/>
    <w:rsid w:val="00396046"/>
    <w:rsid w:val="003C257B"/>
    <w:rsid w:val="003D3ACF"/>
    <w:rsid w:val="003E09CB"/>
    <w:rsid w:val="003E670E"/>
    <w:rsid w:val="003F7905"/>
    <w:rsid w:val="004073CE"/>
    <w:rsid w:val="00416525"/>
    <w:rsid w:val="00421170"/>
    <w:rsid w:val="00427AD1"/>
    <w:rsid w:val="00435C41"/>
    <w:rsid w:val="00442634"/>
    <w:rsid w:val="0046489D"/>
    <w:rsid w:val="0046512A"/>
    <w:rsid w:val="00476F1E"/>
    <w:rsid w:val="00490982"/>
    <w:rsid w:val="0049758B"/>
    <w:rsid w:val="004A0CFB"/>
    <w:rsid w:val="004A5312"/>
    <w:rsid w:val="004A5C54"/>
    <w:rsid w:val="004C4628"/>
    <w:rsid w:val="004D5563"/>
    <w:rsid w:val="004D7815"/>
    <w:rsid w:val="004E038D"/>
    <w:rsid w:val="004E4750"/>
    <w:rsid w:val="00504FB0"/>
    <w:rsid w:val="00507B88"/>
    <w:rsid w:val="00512BA0"/>
    <w:rsid w:val="00516A1B"/>
    <w:rsid w:val="005238AA"/>
    <w:rsid w:val="00534EDB"/>
    <w:rsid w:val="00534F33"/>
    <w:rsid w:val="00537C34"/>
    <w:rsid w:val="00546309"/>
    <w:rsid w:val="00547C92"/>
    <w:rsid w:val="00563FA0"/>
    <w:rsid w:val="00573DEF"/>
    <w:rsid w:val="005765DA"/>
    <w:rsid w:val="005862B7"/>
    <w:rsid w:val="005932E2"/>
    <w:rsid w:val="005A0BD4"/>
    <w:rsid w:val="005A3F8C"/>
    <w:rsid w:val="005B31DF"/>
    <w:rsid w:val="005D1C13"/>
    <w:rsid w:val="005D1C19"/>
    <w:rsid w:val="005D3F31"/>
    <w:rsid w:val="005E768B"/>
    <w:rsid w:val="005F08FD"/>
    <w:rsid w:val="005F0913"/>
    <w:rsid w:val="00602100"/>
    <w:rsid w:val="00604563"/>
    <w:rsid w:val="0060678B"/>
    <w:rsid w:val="00622BDE"/>
    <w:rsid w:val="00644755"/>
    <w:rsid w:val="0065181E"/>
    <w:rsid w:val="00653938"/>
    <w:rsid w:val="00661B32"/>
    <w:rsid w:val="00663759"/>
    <w:rsid w:val="00663E1C"/>
    <w:rsid w:val="0066579C"/>
    <w:rsid w:val="00680251"/>
    <w:rsid w:val="0069058F"/>
    <w:rsid w:val="00697A43"/>
    <w:rsid w:val="006A2677"/>
    <w:rsid w:val="006A4785"/>
    <w:rsid w:val="006B0270"/>
    <w:rsid w:val="006B5D03"/>
    <w:rsid w:val="006B6D7E"/>
    <w:rsid w:val="006D1C06"/>
    <w:rsid w:val="0070004C"/>
    <w:rsid w:val="00700E1C"/>
    <w:rsid w:val="00706A1F"/>
    <w:rsid w:val="00727ED6"/>
    <w:rsid w:val="007369C2"/>
    <w:rsid w:val="00740480"/>
    <w:rsid w:val="0075313A"/>
    <w:rsid w:val="00757724"/>
    <w:rsid w:val="007744ED"/>
    <w:rsid w:val="007768C1"/>
    <w:rsid w:val="007847BE"/>
    <w:rsid w:val="00790168"/>
    <w:rsid w:val="007A698C"/>
    <w:rsid w:val="007C1BDB"/>
    <w:rsid w:val="007C2855"/>
    <w:rsid w:val="007C72E5"/>
    <w:rsid w:val="007D185D"/>
    <w:rsid w:val="007D25EC"/>
    <w:rsid w:val="008064EA"/>
    <w:rsid w:val="0080740C"/>
    <w:rsid w:val="008107FB"/>
    <w:rsid w:val="008138F9"/>
    <w:rsid w:val="008142F3"/>
    <w:rsid w:val="00834E85"/>
    <w:rsid w:val="00836487"/>
    <w:rsid w:val="00841D7E"/>
    <w:rsid w:val="00857F65"/>
    <w:rsid w:val="008730D9"/>
    <w:rsid w:val="008870F2"/>
    <w:rsid w:val="00895506"/>
    <w:rsid w:val="008A646A"/>
    <w:rsid w:val="008B6740"/>
    <w:rsid w:val="008C5645"/>
    <w:rsid w:val="008C626F"/>
    <w:rsid w:val="008D6E6F"/>
    <w:rsid w:val="008E2B22"/>
    <w:rsid w:val="008E4ED3"/>
    <w:rsid w:val="00915D4F"/>
    <w:rsid w:val="00916424"/>
    <w:rsid w:val="00932CDF"/>
    <w:rsid w:val="009342C8"/>
    <w:rsid w:val="00934A65"/>
    <w:rsid w:val="0094296D"/>
    <w:rsid w:val="0097096C"/>
    <w:rsid w:val="00980289"/>
    <w:rsid w:val="009A3B67"/>
    <w:rsid w:val="009A5038"/>
    <w:rsid w:val="009B1F02"/>
    <w:rsid w:val="009D6C07"/>
    <w:rsid w:val="009E3EE4"/>
    <w:rsid w:val="009E7A56"/>
    <w:rsid w:val="009F31FB"/>
    <w:rsid w:val="009F4B31"/>
    <w:rsid w:val="00A262EF"/>
    <w:rsid w:val="00A42721"/>
    <w:rsid w:val="00A42B17"/>
    <w:rsid w:val="00A52D1D"/>
    <w:rsid w:val="00A55445"/>
    <w:rsid w:val="00A56CB4"/>
    <w:rsid w:val="00A61A91"/>
    <w:rsid w:val="00A805F1"/>
    <w:rsid w:val="00A8617F"/>
    <w:rsid w:val="00AA5D27"/>
    <w:rsid w:val="00AB3D44"/>
    <w:rsid w:val="00AB66E7"/>
    <w:rsid w:val="00AD4DA2"/>
    <w:rsid w:val="00AD7EFA"/>
    <w:rsid w:val="00AD7FA5"/>
    <w:rsid w:val="00AE12C6"/>
    <w:rsid w:val="00AE29EB"/>
    <w:rsid w:val="00AF3A6E"/>
    <w:rsid w:val="00AF5AF0"/>
    <w:rsid w:val="00B043B5"/>
    <w:rsid w:val="00B07694"/>
    <w:rsid w:val="00B252D6"/>
    <w:rsid w:val="00B2603D"/>
    <w:rsid w:val="00B341D1"/>
    <w:rsid w:val="00B430E7"/>
    <w:rsid w:val="00B44E3E"/>
    <w:rsid w:val="00B52E00"/>
    <w:rsid w:val="00B55459"/>
    <w:rsid w:val="00B66841"/>
    <w:rsid w:val="00B67E7C"/>
    <w:rsid w:val="00B7001B"/>
    <w:rsid w:val="00B779A1"/>
    <w:rsid w:val="00B862CE"/>
    <w:rsid w:val="00B873AB"/>
    <w:rsid w:val="00BB06CC"/>
    <w:rsid w:val="00BB5EA2"/>
    <w:rsid w:val="00BC7B4B"/>
    <w:rsid w:val="00BE03E5"/>
    <w:rsid w:val="00BF45A5"/>
    <w:rsid w:val="00BF6C76"/>
    <w:rsid w:val="00C16880"/>
    <w:rsid w:val="00C22098"/>
    <w:rsid w:val="00C22439"/>
    <w:rsid w:val="00C2326F"/>
    <w:rsid w:val="00C2584F"/>
    <w:rsid w:val="00C31F3C"/>
    <w:rsid w:val="00C35312"/>
    <w:rsid w:val="00C41633"/>
    <w:rsid w:val="00C5261B"/>
    <w:rsid w:val="00C53647"/>
    <w:rsid w:val="00C5624B"/>
    <w:rsid w:val="00C61AB3"/>
    <w:rsid w:val="00C6291B"/>
    <w:rsid w:val="00C8087B"/>
    <w:rsid w:val="00C81B74"/>
    <w:rsid w:val="00C83AA6"/>
    <w:rsid w:val="00C93A53"/>
    <w:rsid w:val="00C95AD0"/>
    <w:rsid w:val="00CB1817"/>
    <w:rsid w:val="00CB3138"/>
    <w:rsid w:val="00CB6A52"/>
    <w:rsid w:val="00CB7D52"/>
    <w:rsid w:val="00CF10B1"/>
    <w:rsid w:val="00D0509E"/>
    <w:rsid w:val="00D07412"/>
    <w:rsid w:val="00D20935"/>
    <w:rsid w:val="00D269F5"/>
    <w:rsid w:val="00D30961"/>
    <w:rsid w:val="00D4003A"/>
    <w:rsid w:val="00D40B4D"/>
    <w:rsid w:val="00D44253"/>
    <w:rsid w:val="00D44F66"/>
    <w:rsid w:val="00D468B4"/>
    <w:rsid w:val="00D52E5E"/>
    <w:rsid w:val="00D61993"/>
    <w:rsid w:val="00D658D0"/>
    <w:rsid w:val="00D65985"/>
    <w:rsid w:val="00D75749"/>
    <w:rsid w:val="00D932A0"/>
    <w:rsid w:val="00DA7E41"/>
    <w:rsid w:val="00DB36E6"/>
    <w:rsid w:val="00DB60A2"/>
    <w:rsid w:val="00DD2525"/>
    <w:rsid w:val="00DF0A5A"/>
    <w:rsid w:val="00DF7E47"/>
    <w:rsid w:val="00E2797D"/>
    <w:rsid w:val="00E357B6"/>
    <w:rsid w:val="00E45EF0"/>
    <w:rsid w:val="00E46F17"/>
    <w:rsid w:val="00E50F00"/>
    <w:rsid w:val="00E544B1"/>
    <w:rsid w:val="00E82189"/>
    <w:rsid w:val="00E82CD3"/>
    <w:rsid w:val="00E95D9F"/>
    <w:rsid w:val="00EA547A"/>
    <w:rsid w:val="00EB5BC3"/>
    <w:rsid w:val="00EB6D5E"/>
    <w:rsid w:val="00ED0E50"/>
    <w:rsid w:val="00EF30C7"/>
    <w:rsid w:val="00F06B01"/>
    <w:rsid w:val="00F10C83"/>
    <w:rsid w:val="00F369F9"/>
    <w:rsid w:val="00F40B72"/>
    <w:rsid w:val="00F50567"/>
    <w:rsid w:val="00F51BA6"/>
    <w:rsid w:val="00F52997"/>
    <w:rsid w:val="00F70966"/>
    <w:rsid w:val="00F82F71"/>
    <w:rsid w:val="00F90AA1"/>
    <w:rsid w:val="00F97AD9"/>
    <w:rsid w:val="00FA56E0"/>
    <w:rsid w:val="00FA7B71"/>
    <w:rsid w:val="00FB71EC"/>
    <w:rsid w:val="00FB7A13"/>
    <w:rsid w:val="00FC75AE"/>
    <w:rsid w:val="00FE062B"/>
    <w:rsid w:val="00FE7726"/>
    <w:rsid w:val="00FF4C17"/>
    <w:rsid w:val="1DC3E4BB"/>
    <w:rsid w:val="3FFE3BC5"/>
    <w:rsid w:val="4537647D"/>
    <w:rsid w:val="51FFB5C5"/>
    <w:rsid w:val="607EFD76"/>
    <w:rsid w:val="6C8B5602"/>
    <w:rsid w:val="6FFFA3B7"/>
    <w:rsid w:val="FF6FAE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ind w:firstLine="200" w:firstLineChars="200"/>
    </w:pPr>
    <w:rPr>
      <w:rFonts w:eastAsia="仿宋_GB2312"/>
      <w:sz w:val="32"/>
    </w:rPr>
  </w:style>
  <w:style w:type="paragraph" w:styleId="3">
    <w:name w:val="Plain Text"/>
    <w:basedOn w:val="1"/>
    <w:link w:val="15"/>
    <w:qFormat/>
    <w:uiPriority w:val="0"/>
    <w:rPr>
      <w:rFonts w:ascii="宋体" w:hAnsi="Courier New"/>
      <w:szCs w:val="20"/>
    </w:rPr>
  </w:style>
  <w:style w:type="paragraph" w:styleId="4">
    <w:name w:val="Balloon Text"/>
    <w:basedOn w:val="1"/>
    <w:semiHidden/>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580" w:lineRule="exact"/>
      <w:jc w:val="center"/>
    </w:pPr>
    <w:rPr>
      <w:rFonts w:ascii="宋体"/>
      <w:b/>
      <w:sz w:val="36"/>
      <w:szCs w:val="20"/>
    </w:rPr>
  </w:style>
  <w:style w:type="paragraph" w:styleId="8">
    <w:name w:val="Normal (Web)"/>
    <w:basedOn w:val="1"/>
    <w:qFormat/>
    <w:uiPriority w:val="99"/>
    <w:pPr>
      <w:spacing w:beforeAutospacing="1" w:afterAutospacing="1"/>
      <w:jc w:val="left"/>
    </w:pPr>
    <w:rPr>
      <w:kern w:val="0"/>
      <w:sz w:val="24"/>
    </w:rPr>
  </w:style>
  <w:style w:type="paragraph" w:customStyle="1" w:styleId="11">
    <w:name w:val="Char Char Char Char"/>
    <w:basedOn w:val="1"/>
    <w:qFormat/>
    <w:uiPriority w:val="0"/>
    <w:rPr>
      <w:rFonts w:ascii="Tahoma" w:hAnsi="Tahoma"/>
      <w:sz w:val="24"/>
      <w:szCs w:val="20"/>
    </w:rPr>
  </w:style>
  <w:style w:type="paragraph" w:customStyle="1" w:styleId="12">
    <w:name w:val="Char Char Char Char1"/>
    <w:basedOn w:val="1"/>
    <w:qFormat/>
    <w:uiPriority w:val="0"/>
    <w:rPr>
      <w:rFonts w:ascii="Tahoma" w:hAnsi="Tahoma"/>
      <w:sz w:val="24"/>
      <w:szCs w:val="20"/>
    </w:rPr>
  </w:style>
  <w:style w:type="paragraph" w:customStyle="1" w:styleId="13">
    <w:name w:val="Char Char Char Char Char Char Char Char Char Char Char Char"/>
    <w:basedOn w:val="1"/>
    <w:qFormat/>
    <w:uiPriority w:val="0"/>
    <w:rPr>
      <w:sz w:val="28"/>
      <w:szCs w:val="20"/>
    </w:rPr>
  </w:style>
  <w:style w:type="paragraph" w:customStyle="1" w:styleId="14">
    <w:name w:val="Char"/>
    <w:basedOn w:val="1"/>
    <w:qFormat/>
    <w:uiPriority w:val="0"/>
    <w:rPr>
      <w:rFonts w:ascii="Tahoma" w:hAnsi="Tahoma"/>
      <w:sz w:val="24"/>
      <w:szCs w:val="20"/>
    </w:rPr>
  </w:style>
  <w:style w:type="character" w:customStyle="1" w:styleId="15">
    <w:name w:val="纯文本 Char"/>
    <w:basedOn w:val="9"/>
    <w:link w:val="3"/>
    <w:qFormat/>
    <w:uiPriority w:val="0"/>
    <w:rPr>
      <w:rFonts w:ascii="宋体" w:hAnsi="Courier New" w:eastAsia="宋体"/>
      <w:kern w:val="2"/>
      <w:sz w:val="21"/>
      <w:lang w:val="en-US" w:eastAsia="zh-CN" w:bidi="ar-SA"/>
    </w:rPr>
  </w:style>
  <w:style w:type="character" w:customStyle="1" w:styleId="16">
    <w:name w:val="页眉 Char"/>
    <w:basedOn w:val="9"/>
    <w:link w:val="6"/>
    <w:qFormat/>
    <w:uiPriority w:val="0"/>
    <w:rPr>
      <w:kern w:val="2"/>
      <w:sz w:val="18"/>
      <w:szCs w:val="18"/>
    </w:rPr>
  </w:style>
  <w:style w:type="character" w:customStyle="1" w:styleId="17">
    <w:name w:val="页脚 Char"/>
    <w:basedOn w:val="9"/>
    <w:link w:val="5"/>
    <w:qFormat/>
    <w:uiPriority w:val="99"/>
    <w:rPr>
      <w:kern w:val="2"/>
      <w:sz w:val="18"/>
      <w:szCs w:val="18"/>
    </w:rPr>
  </w:style>
  <w:style w:type="paragraph" w:styleId="1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34</Pages>
  <Words>3105</Words>
  <Characters>17702</Characters>
  <Lines>147</Lines>
  <Paragraphs>41</Paragraphs>
  <TotalTime>41</TotalTime>
  <ScaleCrop>false</ScaleCrop>
  <LinksUpToDate>false</LinksUpToDate>
  <CharactersWithSpaces>20766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2024-01-02T22:55:00Z</dcterms:created>
  <dc:creator>刘雅君</dc:creator>
  <cp:lastModifiedBy>Administrator</cp:lastModifiedBy>
  <cp:lastPrinted>2024-01-05T01:11:00Z</cp:lastPrinted>
  <dcterms:modified xsi:type="dcterms:W3CDTF">2024-03-15T08:44:04Z</dcterms:modified>
  <dc:title>北京市统计局文件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