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行政职权运行通用责任清单</w:t>
      </w:r>
    </w:p>
    <w:p>
      <w:pPr>
        <w:rPr>
          <w:rFonts w:hint="eastAsia"/>
        </w:rPr>
      </w:pPr>
    </w:p>
    <w:tbl>
      <w:tblPr>
        <w:tblStyle w:val="2"/>
        <w:tblW w:w="8546" w:type="dxa"/>
        <w:tblCellSpacing w:w="0" w:type="dxa"/>
        <w:tblInd w:w="0" w:type="dxa"/>
        <w:tblLayout w:type="autofit"/>
        <w:tblCellMar>
          <w:top w:w="0" w:type="dxa"/>
          <w:left w:w="0" w:type="dxa"/>
          <w:bottom w:w="0" w:type="dxa"/>
          <w:right w:w="0" w:type="dxa"/>
        </w:tblCellMar>
      </w:tblPr>
      <w:tblGrid>
        <w:gridCol w:w="844"/>
        <w:gridCol w:w="1851"/>
        <w:gridCol w:w="5851"/>
      </w:tblGrid>
      <w:tr>
        <w:tblPrEx>
          <w:tblCellMar>
            <w:top w:w="0" w:type="dxa"/>
            <w:left w:w="0" w:type="dxa"/>
            <w:bottom w:w="0" w:type="dxa"/>
            <w:right w:w="0" w:type="dxa"/>
          </w:tblCellMar>
        </w:tblPrEx>
        <w:trPr>
          <w:trHeight w:val="750" w:hRule="atLeast"/>
          <w:tblCellSpacing w:w="0" w:type="dxa"/>
        </w:trPr>
        <w:tc>
          <w:tcPr>
            <w:tcW w:w="8546"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4"/>
                <w:szCs w:val="24"/>
              </w:rPr>
              <w:t>一、行政许可类行政职权运行通用责任</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3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36"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接收申请人提交的材料。若申请人提交的申请材料不齐全、不符合法定形式,应当一次性告知申请人必须补正的全部内容。 </w:t>
            </w:r>
          </w:p>
        </w:tc>
      </w:tr>
      <w:tr>
        <w:tblPrEx>
          <w:tblCellMar>
            <w:top w:w="0" w:type="dxa"/>
            <w:left w:w="0" w:type="dxa"/>
            <w:bottom w:w="0" w:type="dxa"/>
            <w:right w:w="0" w:type="dxa"/>
          </w:tblCellMar>
        </w:tblPrEx>
        <w:trPr>
          <w:trHeight w:val="570"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3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受理或者不予受理行政许可申请,应当出具加盖行政机关专用印章和注明日期的书面凭证。 </w:t>
            </w:r>
          </w:p>
        </w:tc>
      </w:tr>
      <w:tr>
        <w:tblPrEx>
          <w:tblCellMar>
            <w:top w:w="0" w:type="dxa"/>
            <w:left w:w="0" w:type="dxa"/>
            <w:bottom w:w="0" w:type="dxa"/>
            <w:right w:w="0" w:type="dxa"/>
          </w:tblCellMar>
        </w:tblPrEx>
        <w:trPr>
          <w:trHeight w:val="480"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3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依法说明不受理行政许可申请或者不予行政许可的理由。 </w:t>
            </w:r>
          </w:p>
        </w:tc>
      </w:tr>
      <w:tr>
        <w:tblPrEx>
          <w:tblCellMar>
            <w:top w:w="0" w:type="dxa"/>
            <w:left w:w="0" w:type="dxa"/>
            <w:bottom w:w="0" w:type="dxa"/>
            <w:right w:w="0" w:type="dxa"/>
          </w:tblCellMar>
        </w:tblPrEx>
        <w:trPr>
          <w:trHeight w:val="735"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36"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申请人提交的申请材料齐全、符合法定形式,能够当场作出决定的,当场作出书面的行政许可决定。   </w:t>
            </w:r>
          </w:p>
        </w:tc>
      </w:tr>
      <w:tr>
        <w:tblPrEx>
          <w:tblCellMar>
            <w:top w:w="0" w:type="dxa"/>
            <w:left w:w="0" w:type="dxa"/>
            <w:bottom w:w="0" w:type="dxa"/>
            <w:right w:w="0" w:type="dxa"/>
          </w:tblCellMar>
        </w:tblPrEx>
        <w:trPr>
          <w:trHeight w:val="765"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3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根据法定条件和程序,需要对申请材料的实质内容进行核实的,行政机关应当指派2名以上工作人员进行核查。 </w:t>
            </w:r>
          </w:p>
        </w:tc>
      </w:tr>
      <w:tr>
        <w:tblPrEx>
          <w:tblCellMar>
            <w:top w:w="0" w:type="dxa"/>
            <w:left w:w="0" w:type="dxa"/>
            <w:bottom w:w="0" w:type="dxa"/>
            <w:right w:w="0" w:type="dxa"/>
          </w:tblCellMar>
        </w:tblPrEx>
        <w:trPr>
          <w:trHeight w:val="510"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3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需依法举行听证的应当依法举行听证。 </w:t>
            </w:r>
          </w:p>
        </w:tc>
      </w:tr>
      <w:tr>
        <w:tblPrEx>
          <w:tblCellMar>
            <w:top w:w="0" w:type="dxa"/>
            <w:left w:w="0" w:type="dxa"/>
            <w:bottom w:w="0" w:type="dxa"/>
            <w:right w:w="0" w:type="dxa"/>
          </w:tblCellMar>
        </w:tblPrEx>
        <w:trPr>
          <w:trHeight w:val="690"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36"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对符合法定条件的申请人应</w:t>
            </w:r>
            <w:r>
              <w:rPr>
                <w:rFonts w:hint="eastAsia" w:ascii="宋体" w:hAnsi="宋体" w:eastAsia="宋体" w:cs="宋体"/>
                <w:color w:val="000000"/>
                <w:kern w:val="0"/>
                <w:sz w:val="24"/>
                <w:szCs w:val="24"/>
              </w:rPr>
              <w:t>当在法定职权范围和期限内尽快作出准予</w:t>
            </w:r>
            <w:r>
              <w:rPr>
                <w:rFonts w:hint="eastAsia" w:ascii="宋体" w:hAnsi="宋体" w:eastAsia="宋体" w:cs="宋体"/>
                <w:kern w:val="0"/>
                <w:sz w:val="24"/>
                <w:szCs w:val="24"/>
              </w:rPr>
              <w:t xml:space="preserve">行政许可的决定。 </w:t>
            </w:r>
          </w:p>
        </w:tc>
      </w:tr>
      <w:tr>
        <w:tblPrEx>
          <w:tblCellMar>
            <w:top w:w="0" w:type="dxa"/>
            <w:left w:w="0" w:type="dxa"/>
            <w:bottom w:w="0" w:type="dxa"/>
            <w:right w:w="0" w:type="dxa"/>
          </w:tblCellMar>
        </w:tblPrEx>
        <w:trPr>
          <w:trHeight w:val="750"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3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依法根据招标、拍卖结果或者考试成绩择优作出准予行政许可的决定。 </w:t>
            </w:r>
          </w:p>
        </w:tc>
      </w:tr>
      <w:tr>
        <w:tblPrEx>
          <w:tblCellMar>
            <w:top w:w="0" w:type="dxa"/>
            <w:left w:w="0" w:type="dxa"/>
            <w:bottom w:w="0" w:type="dxa"/>
            <w:right w:w="0" w:type="dxa"/>
          </w:tblCellMar>
        </w:tblPrEx>
        <w:trPr>
          <w:trHeight w:val="810"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3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依法作出不予行政许可的书面决定的,应当说明理由,并告知申请人享有依法申请行政复议或者提起行政诉讼的权利。   </w:t>
            </w:r>
          </w:p>
        </w:tc>
      </w:tr>
      <w:tr>
        <w:tblPrEx>
          <w:tblCellMar>
            <w:top w:w="0" w:type="dxa"/>
            <w:left w:w="0" w:type="dxa"/>
            <w:bottom w:w="0" w:type="dxa"/>
            <w:right w:w="0" w:type="dxa"/>
          </w:tblCellMar>
        </w:tblPrEx>
        <w:trPr>
          <w:trHeight w:val="465"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3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按法定项目和标准予以收费。 </w:t>
            </w:r>
          </w:p>
        </w:tc>
      </w:tr>
      <w:tr>
        <w:tblPrEx>
          <w:tblCellMar>
            <w:top w:w="0" w:type="dxa"/>
            <w:left w:w="0" w:type="dxa"/>
            <w:bottom w:w="0" w:type="dxa"/>
            <w:right w:w="0" w:type="dxa"/>
          </w:tblCellMar>
        </w:tblPrEx>
        <w:trPr>
          <w:trHeight w:val="375"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3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作出的准予行政许可决定,应当予以公开,公众有权查阅。   </w:t>
            </w:r>
          </w:p>
        </w:tc>
      </w:tr>
      <w:tr>
        <w:tblPrEx>
          <w:tblCellMar>
            <w:top w:w="0" w:type="dxa"/>
            <w:left w:w="0" w:type="dxa"/>
            <w:bottom w:w="0" w:type="dxa"/>
            <w:right w:w="0" w:type="dxa"/>
          </w:tblCellMar>
        </w:tblPrEx>
        <w:trPr>
          <w:trHeight w:val="570"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36"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(四)送达</w:t>
            </w:r>
            <w:r>
              <w:rPr>
                <w:rFonts w:hint="eastAsia" w:ascii="宋体" w:hAnsi="宋体" w:eastAsia="宋体" w:cs="宋体"/>
                <w:kern w:val="0"/>
                <w:sz w:val="24"/>
                <w:szCs w:val="24"/>
              </w:rPr>
              <w:t xml:space="preserve"> </w:t>
            </w: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送达行政执法文书应当有送达回证,受送达人在送达回证上的签收日期为送达日期。 </w:t>
            </w:r>
          </w:p>
        </w:tc>
      </w:tr>
      <w:tr>
        <w:tblPrEx>
          <w:tblCellMar>
            <w:top w:w="0" w:type="dxa"/>
            <w:left w:w="0" w:type="dxa"/>
            <w:bottom w:w="0" w:type="dxa"/>
            <w:right w:w="0" w:type="dxa"/>
          </w:tblCellMar>
        </w:tblPrEx>
        <w:trPr>
          <w:trHeight w:val="435"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3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CellMar>
            <w:top w:w="0" w:type="dxa"/>
            <w:left w:w="0" w:type="dxa"/>
            <w:bottom w:w="0" w:type="dxa"/>
            <w:right w:w="0" w:type="dxa"/>
          </w:tblCellMar>
        </w:tblPrEx>
        <w:trPr>
          <w:trHeight w:val="555"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36"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建立健全监督制度,通过核查反映被许可人从事行政许可事项活动情况的有关材料,履行监督责任。 </w:t>
            </w:r>
          </w:p>
        </w:tc>
      </w:tr>
      <w:tr>
        <w:tblPrEx>
          <w:tblCellMar>
            <w:top w:w="0" w:type="dxa"/>
            <w:left w:w="0" w:type="dxa"/>
            <w:bottom w:w="0" w:type="dxa"/>
            <w:right w:w="0" w:type="dxa"/>
          </w:tblCellMar>
        </w:tblPrEx>
        <w:trPr>
          <w:trHeight w:val="570"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3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建立随机抽查制度,对被许可人生产经营的产品依法进行抽样检查、检验、检测,对其生产经营场所依法进行实地检查。 </w:t>
            </w:r>
          </w:p>
        </w:tc>
      </w:tr>
      <w:tr>
        <w:tblPrEx>
          <w:tblCellMar>
            <w:top w:w="0" w:type="dxa"/>
            <w:left w:w="0" w:type="dxa"/>
            <w:bottom w:w="0" w:type="dxa"/>
            <w:right w:w="0" w:type="dxa"/>
          </w:tblCellMar>
        </w:tblPrEx>
        <w:trPr>
          <w:trHeight w:val="570"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36"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根据法律、行政法规的规定,对直接关系公共安全、人身健康、生命财产安全的重要设备、设施进行定期检验。 </w:t>
            </w:r>
          </w:p>
        </w:tc>
      </w:tr>
      <w:tr>
        <w:tblPrEx>
          <w:tblCellMar>
            <w:top w:w="0" w:type="dxa"/>
            <w:left w:w="0" w:type="dxa"/>
            <w:bottom w:w="0" w:type="dxa"/>
            <w:right w:w="0" w:type="dxa"/>
          </w:tblCellMar>
        </w:tblPrEx>
        <w:trPr>
          <w:trHeight w:val="750"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3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实施监督检查时,应当将监督检查的情况和处理结果予以记录,由监督检查人员签字后归档。公众有权查阅监督检查记录。 </w:t>
            </w:r>
          </w:p>
        </w:tc>
      </w:tr>
      <w:tr>
        <w:tblPrEx>
          <w:tblCellMar>
            <w:top w:w="0" w:type="dxa"/>
            <w:left w:w="0" w:type="dxa"/>
            <w:bottom w:w="0" w:type="dxa"/>
            <w:right w:w="0" w:type="dxa"/>
          </w:tblCellMar>
        </w:tblPrEx>
        <w:trPr>
          <w:trHeight w:val="585"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3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实施监督检查,不得妨碍被许可人正常的生产经营活动,不得索取或收受被许可人的财物,不得谋取其他利益。 </w:t>
            </w:r>
          </w:p>
        </w:tc>
      </w:tr>
      <w:tr>
        <w:tblPrEx>
          <w:tblCellMar>
            <w:top w:w="0" w:type="dxa"/>
            <w:left w:w="0" w:type="dxa"/>
            <w:bottom w:w="0" w:type="dxa"/>
            <w:right w:w="0" w:type="dxa"/>
          </w:tblCellMar>
        </w:tblPrEx>
        <w:trPr>
          <w:trHeight w:val="75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lang w:eastAsia="zh-CN"/>
              </w:rPr>
              <w:t>二</w:t>
            </w:r>
            <w:r>
              <w:rPr>
                <w:rFonts w:hint="eastAsia" w:ascii="宋体" w:hAnsi="宋体" w:eastAsia="宋体" w:cs="宋体"/>
                <w:b/>
                <w:bCs/>
                <w:kern w:val="0"/>
                <w:sz w:val="24"/>
                <w:szCs w:val="24"/>
              </w:rPr>
              <w:t>、行政确认类行政职权运行通用责任清单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3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540"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36"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对符合确认条件的,当场受理。 </w:t>
            </w:r>
          </w:p>
        </w:tc>
      </w:tr>
      <w:tr>
        <w:tblPrEx>
          <w:tblCellMar>
            <w:top w:w="0" w:type="dxa"/>
            <w:left w:w="0" w:type="dxa"/>
            <w:bottom w:w="0" w:type="dxa"/>
            <w:right w:w="0" w:type="dxa"/>
          </w:tblCellMar>
        </w:tblPrEx>
        <w:trPr>
          <w:trHeight w:val="795"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36"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780"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36"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对不符合受理条件的,应当书面告知办理人不予办理行政确认的理由和依据。 </w:t>
            </w:r>
          </w:p>
        </w:tc>
      </w:tr>
      <w:tr>
        <w:tblPrEx>
          <w:tblCellMar>
            <w:top w:w="0" w:type="dxa"/>
            <w:left w:w="0" w:type="dxa"/>
            <w:bottom w:w="0" w:type="dxa"/>
            <w:right w:w="0" w:type="dxa"/>
          </w:tblCellMar>
        </w:tblPrEx>
        <w:trPr>
          <w:trHeight w:val="435"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36"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(二)确认</w:t>
            </w:r>
            <w:r>
              <w:rPr>
                <w:rFonts w:hint="eastAsia" w:ascii="宋体" w:hAnsi="宋体" w:eastAsia="宋体" w:cs="宋体"/>
                <w:kern w:val="0"/>
                <w:sz w:val="24"/>
                <w:szCs w:val="24"/>
              </w:rPr>
              <w:t xml:space="preserve"> </w:t>
            </w: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在法定期限(承诺期限)内完成确认。 </w:t>
            </w:r>
          </w:p>
        </w:tc>
      </w:tr>
      <w:tr>
        <w:tblPrEx>
          <w:tblCellMar>
            <w:top w:w="0" w:type="dxa"/>
            <w:left w:w="0" w:type="dxa"/>
            <w:bottom w:w="0" w:type="dxa"/>
            <w:right w:w="0" w:type="dxa"/>
          </w:tblCellMar>
        </w:tblPrEx>
        <w:trPr>
          <w:trHeight w:val="810"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36"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严格按照流程图规定进行研究确认,不得提高确认标准、扩大确认范围等。 </w:t>
            </w:r>
          </w:p>
        </w:tc>
      </w:tr>
      <w:tr>
        <w:tblPrEx>
          <w:tblCellMar>
            <w:top w:w="0" w:type="dxa"/>
            <w:left w:w="0" w:type="dxa"/>
            <w:bottom w:w="0" w:type="dxa"/>
            <w:right w:w="0" w:type="dxa"/>
          </w:tblCellMar>
        </w:tblPrEx>
        <w:trPr>
          <w:trHeight w:val="765"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36"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按照一定的技术规范要求以书面形式作出决定,并发放确认文书。 </w:t>
            </w:r>
          </w:p>
        </w:tc>
      </w:tr>
      <w:tr>
        <w:tblPrEx>
          <w:tblCellMar>
            <w:top w:w="0" w:type="dxa"/>
            <w:left w:w="0" w:type="dxa"/>
            <w:bottom w:w="0" w:type="dxa"/>
            <w:right w:w="0" w:type="dxa"/>
          </w:tblCellMar>
        </w:tblPrEx>
        <w:trPr>
          <w:trHeight w:val="540"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36"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不符合确认要求的不予确认,并说明理由。 </w:t>
            </w:r>
          </w:p>
        </w:tc>
      </w:tr>
      <w:tr>
        <w:tblPrEx>
          <w:tblCellMar>
            <w:top w:w="0" w:type="dxa"/>
            <w:left w:w="0" w:type="dxa"/>
            <w:bottom w:w="0" w:type="dxa"/>
            <w:right w:w="0" w:type="dxa"/>
          </w:tblCellMar>
        </w:tblPrEx>
        <w:trPr>
          <w:trHeight w:val="570"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36"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(三)送达</w:t>
            </w:r>
            <w:r>
              <w:rPr>
                <w:rFonts w:hint="eastAsia" w:ascii="宋体" w:hAnsi="宋体" w:eastAsia="宋体" w:cs="宋体"/>
                <w:kern w:val="0"/>
                <w:sz w:val="24"/>
                <w:szCs w:val="24"/>
              </w:rPr>
              <w:t xml:space="preserve"> </w:t>
            </w: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CellMar>
            <w:top w:w="0" w:type="dxa"/>
            <w:left w:w="0" w:type="dxa"/>
            <w:bottom w:w="0" w:type="dxa"/>
            <w:right w:w="0" w:type="dxa"/>
          </w:tblCellMar>
        </w:tblPrEx>
        <w:trPr>
          <w:trHeight w:val="780"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3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CellMar>
            <w:top w:w="0" w:type="dxa"/>
            <w:left w:w="0" w:type="dxa"/>
            <w:bottom w:w="0" w:type="dxa"/>
            <w:right w:w="0" w:type="dxa"/>
          </w:tblCellMar>
        </w:tblPrEx>
        <w:trPr>
          <w:trHeight w:val="66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lang w:eastAsia="zh-CN"/>
              </w:rPr>
              <w:t>三</w:t>
            </w:r>
            <w:r>
              <w:rPr>
                <w:rFonts w:hint="eastAsia" w:ascii="宋体" w:hAnsi="宋体" w:eastAsia="宋体" w:cs="宋体"/>
                <w:b/>
                <w:bCs/>
                <w:kern w:val="0"/>
                <w:sz w:val="24"/>
                <w:szCs w:val="24"/>
              </w:rPr>
              <w:t>、行政给付行政职权运行通用责任清单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3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1065"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36"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对符合受理条件的,应当受理,并制作受理通知书;对不符合受理条件的不予受理,并书面告知申请人不予受理的理由和依据。 </w:t>
            </w:r>
          </w:p>
        </w:tc>
      </w:tr>
      <w:tr>
        <w:tblPrEx>
          <w:tblCellMar>
            <w:top w:w="0" w:type="dxa"/>
            <w:left w:w="0" w:type="dxa"/>
            <w:bottom w:w="0" w:type="dxa"/>
            <w:right w:w="0" w:type="dxa"/>
          </w:tblCellMar>
        </w:tblPrEx>
        <w:trPr>
          <w:trHeight w:val="765"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3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375"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3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在法定期限(承诺期限)内完成审查。 </w:t>
            </w:r>
          </w:p>
        </w:tc>
      </w:tr>
      <w:tr>
        <w:tblPrEx>
          <w:tblCellMar>
            <w:top w:w="0" w:type="dxa"/>
            <w:left w:w="0" w:type="dxa"/>
            <w:bottom w:w="0" w:type="dxa"/>
            <w:right w:w="0" w:type="dxa"/>
          </w:tblCellMar>
        </w:tblPrEx>
        <w:trPr>
          <w:trHeight w:val="810"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36"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对于符合条件的,作出给于给付的决定,明确给付标准以及后续办事事宜,并通知申请人前来领取。 </w:t>
            </w:r>
          </w:p>
        </w:tc>
      </w:tr>
      <w:tr>
        <w:tblPrEx>
          <w:tblCellMar>
            <w:top w:w="0" w:type="dxa"/>
            <w:left w:w="0" w:type="dxa"/>
            <w:bottom w:w="0" w:type="dxa"/>
            <w:right w:w="0" w:type="dxa"/>
          </w:tblCellMar>
        </w:tblPrEx>
        <w:trPr>
          <w:trHeight w:val="765"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3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对不符合给付条件的,书面告知申请人不予给付的理由和依据。 </w:t>
            </w:r>
          </w:p>
        </w:tc>
      </w:tr>
      <w:tr>
        <w:tblPrEx>
          <w:tblCellMar>
            <w:top w:w="0" w:type="dxa"/>
            <w:left w:w="0" w:type="dxa"/>
            <w:bottom w:w="0" w:type="dxa"/>
            <w:right w:w="0" w:type="dxa"/>
          </w:tblCellMar>
        </w:tblPrEx>
        <w:trPr>
          <w:trHeight w:val="375"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3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(四)给付</w:t>
            </w:r>
            <w:r>
              <w:rPr>
                <w:rFonts w:hint="eastAsia" w:ascii="宋体" w:hAnsi="宋体" w:eastAsia="宋体" w:cs="宋体"/>
                <w:kern w:val="0"/>
                <w:sz w:val="24"/>
                <w:szCs w:val="24"/>
              </w:rPr>
              <w:t xml:space="preserve"> </w:t>
            </w: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按照</w:t>
            </w:r>
            <w:r>
              <w:rPr>
                <w:rFonts w:hint="eastAsia" w:ascii="宋体" w:hAnsi="宋体" w:eastAsia="宋体" w:cs="宋体"/>
                <w:color w:val="000000"/>
                <w:kern w:val="0"/>
                <w:sz w:val="24"/>
                <w:szCs w:val="24"/>
              </w:rPr>
              <w:t>规定标准</w:t>
            </w:r>
            <w:r>
              <w:rPr>
                <w:rFonts w:hint="eastAsia" w:ascii="宋体" w:hAnsi="宋体" w:eastAsia="宋体" w:cs="宋体"/>
                <w:kern w:val="0"/>
                <w:sz w:val="24"/>
                <w:szCs w:val="24"/>
              </w:rPr>
              <w:t xml:space="preserve">予以给付。 </w:t>
            </w:r>
          </w:p>
        </w:tc>
      </w:tr>
      <w:tr>
        <w:tblPrEx>
          <w:tblCellMar>
            <w:top w:w="0" w:type="dxa"/>
            <w:left w:w="0" w:type="dxa"/>
            <w:bottom w:w="0" w:type="dxa"/>
            <w:right w:w="0" w:type="dxa"/>
          </w:tblCellMar>
        </w:tblPrEx>
        <w:trPr>
          <w:trHeight w:val="645"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3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开展检查,加强日常监管。 </w:t>
            </w:r>
          </w:p>
        </w:tc>
      </w:tr>
      <w:tr>
        <w:tblPrEx>
          <w:tblCellMar>
            <w:top w:w="0" w:type="dxa"/>
            <w:left w:w="0" w:type="dxa"/>
            <w:bottom w:w="0" w:type="dxa"/>
            <w:right w:w="0" w:type="dxa"/>
          </w:tblCellMar>
        </w:tblPrEx>
        <w:trPr>
          <w:trHeight w:val="72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lang w:eastAsia="zh-CN"/>
              </w:rPr>
              <w:t>四</w:t>
            </w:r>
            <w:bookmarkStart w:id="0" w:name="_GoBack"/>
            <w:bookmarkEnd w:id="0"/>
            <w:r>
              <w:rPr>
                <w:rFonts w:hint="eastAsia" w:ascii="宋体" w:hAnsi="宋体" w:eastAsia="宋体" w:cs="宋体"/>
                <w:b/>
                <w:bCs/>
                <w:kern w:val="0"/>
                <w:sz w:val="24"/>
                <w:szCs w:val="24"/>
              </w:rPr>
              <w:t>、行政检查类行政职权运行通用责任清单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05"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3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36"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实施检查前应当依法制定含有正当理由、事项和内容的检查方案。 </w:t>
            </w:r>
          </w:p>
        </w:tc>
      </w:tr>
      <w:tr>
        <w:tblPrEx>
          <w:tblCellMar>
            <w:top w:w="0" w:type="dxa"/>
            <w:left w:w="0" w:type="dxa"/>
            <w:bottom w:w="0" w:type="dxa"/>
            <w:right w:w="0" w:type="dxa"/>
          </w:tblCellMar>
        </w:tblPrEx>
        <w:trPr>
          <w:trHeight w:val="750"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3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同一行政机关的多个内设机构和下属机构对同一当事人不同事项的行政检查,能够合并检查的应当合并检查。 </w:t>
            </w:r>
          </w:p>
        </w:tc>
      </w:tr>
      <w:tr>
        <w:tblPrEx>
          <w:tblCellMar>
            <w:top w:w="0" w:type="dxa"/>
            <w:left w:w="0" w:type="dxa"/>
            <w:bottom w:w="0" w:type="dxa"/>
            <w:right w:w="0" w:type="dxa"/>
          </w:tblCellMar>
        </w:tblPrEx>
        <w:trPr>
          <w:trHeight w:val="765"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3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上下级行政机关应当按照级别管辖和地域管辖相结合的原则合理划分检查范围,避免重复检查。 </w:t>
            </w:r>
          </w:p>
        </w:tc>
      </w:tr>
      <w:tr>
        <w:tblPrEx>
          <w:tblCellMar>
            <w:top w:w="0" w:type="dxa"/>
            <w:left w:w="0" w:type="dxa"/>
            <w:bottom w:w="0" w:type="dxa"/>
            <w:right w:w="0" w:type="dxa"/>
          </w:tblCellMar>
        </w:tblPrEx>
        <w:trPr>
          <w:trHeight w:val="435"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36"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(二)实施检查</w:t>
            </w:r>
            <w:r>
              <w:rPr>
                <w:rFonts w:hint="eastAsia" w:ascii="宋体" w:hAnsi="宋体" w:eastAsia="宋体" w:cs="宋体"/>
                <w:kern w:val="0"/>
                <w:sz w:val="24"/>
                <w:szCs w:val="24"/>
              </w:rPr>
              <w:t xml:space="preserve"> </w:t>
            </w: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依照检查方案规定的时限、范围开展检查。 </w:t>
            </w:r>
          </w:p>
        </w:tc>
      </w:tr>
      <w:tr>
        <w:tblPrEx>
          <w:tblCellMar>
            <w:top w:w="0" w:type="dxa"/>
            <w:left w:w="0" w:type="dxa"/>
            <w:bottom w:w="0" w:type="dxa"/>
            <w:right w:w="0" w:type="dxa"/>
          </w:tblCellMar>
        </w:tblPrEx>
        <w:trPr>
          <w:trHeight w:val="495"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3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实施检查时应当出示执法身份证件、检查方案。 </w:t>
            </w:r>
          </w:p>
        </w:tc>
      </w:tr>
      <w:tr>
        <w:tblPrEx>
          <w:tblCellMar>
            <w:top w:w="0" w:type="dxa"/>
            <w:left w:w="0" w:type="dxa"/>
            <w:bottom w:w="0" w:type="dxa"/>
            <w:right w:w="0" w:type="dxa"/>
          </w:tblCellMar>
        </w:tblPrEx>
        <w:trPr>
          <w:trHeight w:val="525"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3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依法查阅资料、查看现场、听取当事人陈述申辩并取证。 </w:t>
            </w:r>
          </w:p>
        </w:tc>
      </w:tr>
      <w:tr>
        <w:tblPrEx>
          <w:tblCellMar>
            <w:top w:w="0" w:type="dxa"/>
            <w:left w:w="0" w:type="dxa"/>
            <w:bottom w:w="0" w:type="dxa"/>
            <w:right w:w="0" w:type="dxa"/>
          </w:tblCellMar>
        </w:tblPrEx>
        <w:trPr>
          <w:trHeight w:val="465"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3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实施检查应当不影响当事人的正常生产经营活动与生活。 </w:t>
            </w:r>
          </w:p>
        </w:tc>
      </w:tr>
      <w:tr>
        <w:tblPrEx>
          <w:tblCellMar>
            <w:top w:w="0" w:type="dxa"/>
            <w:left w:w="0" w:type="dxa"/>
            <w:bottom w:w="0" w:type="dxa"/>
            <w:right w:w="0" w:type="dxa"/>
          </w:tblCellMar>
        </w:tblPrEx>
        <w:trPr>
          <w:trHeight w:val="750"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3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依法告知当事人检查中发现的违法行为及处理意见,对不服处理意见的,可以依法申请行政复议或提起行政诉讼。 </w:t>
            </w:r>
          </w:p>
        </w:tc>
      </w:tr>
      <w:tr>
        <w:tblPrEx>
          <w:tblCellMar>
            <w:top w:w="0" w:type="dxa"/>
            <w:left w:w="0" w:type="dxa"/>
            <w:bottom w:w="0" w:type="dxa"/>
            <w:right w:w="0" w:type="dxa"/>
          </w:tblCellMar>
        </w:tblPrEx>
        <w:trPr>
          <w:trHeight w:val="375"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3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对检查中发现的违法行为应当予以制止和纠正。</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600"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3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实施行政检查中不得乱收费、乱罚款、乱摊派,严禁吃、拿、卡、要。 </w:t>
            </w:r>
          </w:p>
        </w:tc>
      </w:tr>
      <w:tr>
        <w:tblPrEx>
          <w:tblCellMar>
            <w:top w:w="0" w:type="dxa"/>
            <w:left w:w="0" w:type="dxa"/>
            <w:bottom w:w="0" w:type="dxa"/>
            <w:right w:w="0" w:type="dxa"/>
          </w:tblCellMar>
        </w:tblPrEx>
        <w:trPr>
          <w:trHeight w:val="420"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3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不得放弃、推诿、拖延、拒绝履行检查职责。 </w:t>
            </w:r>
          </w:p>
        </w:tc>
      </w:tr>
      <w:tr>
        <w:tblPrEx>
          <w:tblCellMar>
            <w:top w:w="0" w:type="dxa"/>
            <w:left w:w="0" w:type="dxa"/>
            <w:bottom w:w="0" w:type="dxa"/>
            <w:right w:w="0" w:type="dxa"/>
          </w:tblCellMar>
        </w:tblPrEx>
        <w:trPr>
          <w:trHeight w:val="795" w:hRule="atLeast"/>
          <w:tblCellSpacing w:w="0" w:type="dxa"/>
        </w:trPr>
        <w:tc>
          <w:tcPr>
            <w:tcW w:w="81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3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(三)事后监管</w:t>
            </w:r>
            <w:r>
              <w:rPr>
                <w:rFonts w:hint="eastAsia" w:ascii="宋体" w:hAnsi="宋体" w:eastAsia="宋体" w:cs="宋体"/>
                <w:kern w:val="0"/>
                <w:sz w:val="24"/>
                <w:szCs w:val="24"/>
              </w:rPr>
              <w:t xml:space="preserve"> </w:t>
            </w:r>
          </w:p>
        </w:tc>
        <w:tc>
          <w:tcPr>
            <w:tcW w:w="589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对检查情况进行汇总、分类、归档备查,并跟踪监测。 </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A1"/>
    <w:rsid w:val="001361A1"/>
    <w:rsid w:val="006566C4"/>
    <w:rsid w:val="006D7686"/>
    <w:rsid w:val="2FBE4591"/>
    <w:rsid w:val="7EFEA86A"/>
    <w:rsid w:val="7FCE7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4539</Words>
  <Characters>4568</Characters>
  <Lines>43</Lines>
  <Paragraphs>12</Paragraphs>
  <TotalTime>7</TotalTime>
  <ScaleCrop>false</ScaleCrop>
  <LinksUpToDate>false</LinksUpToDate>
  <CharactersWithSpaces>5593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2017-09-01T17:16:00Z</dcterms:created>
  <dc:creator>wangpeng</dc:creator>
  <cp:lastModifiedBy>user</cp:lastModifiedBy>
  <dcterms:modified xsi:type="dcterms:W3CDTF">2023-10-24T16:48:02Z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7543CA6C976A476B972E6E3580E6CC2F</vt:lpwstr>
  </property>
</Properties>
</file>