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密云区固定资产投资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（不含农户）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情况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，密云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highlight w:val="none"/>
          <w:lang w:eastAsia="zh-CN"/>
        </w:rPr>
        <w:t>区固定资产投资</w:t>
      </w:r>
      <w:r>
        <w:rPr>
          <w:rFonts w:hint="eastAsia" w:ascii="仿宋_GB2312" w:hAnsi="仿宋_GB2312" w:eastAsia="仿宋_GB2312" w:cs="仿宋_GB2312"/>
          <w:color w:val="262626"/>
          <w:sz w:val="32"/>
          <w:szCs w:val="32"/>
          <w:highlight w:val="none"/>
          <w:lang w:val="en-US" w:eastAsia="zh-CN"/>
        </w:rPr>
        <w:t>(不含农户）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增长42.3%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，其中，建安投资同比</w:t>
      </w:r>
      <w:r>
        <w:rPr>
          <w:rFonts w:hint="eastAsia" w:ascii="仿宋_GB2312" w:eastAsia="仿宋_GB2312" w:cs="Calibri"/>
          <w:kern w:val="2"/>
          <w:sz w:val="32"/>
          <w:szCs w:val="32"/>
          <w:highlight w:val="none"/>
          <w:lang w:val="en-US" w:eastAsia="zh-CN" w:bidi="ar-SA"/>
        </w:rPr>
        <w:t>增长114.8%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552190"/>
            <wp:effectExtent l="0" t="0" r="6350" b="10160"/>
            <wp:docPr id="1" name="图片 1" descr="投资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投资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7E226E"/>
    <w:rsid w:val="0A360385"/>
    <w:rsid w:val="0B7C7179"/>
    <w:rsid w:val="0BC5778E"/>
    <w:rsid w:val="0C0C2D5C"/>
    <w:rsid w:val="0CA36702"/>
    <w:rsid w:val="0CF00449"/>
    <w:rsid w:val="0DFFBF94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38D5504"/>
    <w:rsid w:val="24032071"/>
    <w:rsid w:val="24753A5B"/>
    <w:rsid w:val="251D7B2D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66254DE"/>
    <w:rsid w:val="57E121FE"/>
    <w:rsid w:val="59460A90"/>
    <w:rsid w:val="595B49EC"/>
    <w:rsid w:val="59CF15F4"/>
    <w:rsid w:val="59FB292E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7FFFA1C5"/>
    <w:rsid w:val="967B046F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FFB9AC"/>
    <w:rsid w:val="DFFEA70C"/>
    <w:rsid w:val="EDBEEDDD"/>
    <w:rsid w:val="EF8719B0"/>
    <w:rsid w:val="EFAFCD05"/>
    <w:rsid w:val="EFE39DDA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2020-08-17T10:55:00Z</dcterms:created>
  <dc:creator>NTKO</dc:creator>
  <cp:lastModifiedBy>bjtjj</cp:lastModifiedBy>
  <cp:lastPrinted>2025-07-31T06:17:00Z</cp:lastPrinted>
  <dcterms:modified xsi:type="dcterms:W3CDTF">2026-07-27T09:34:19Z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7C8D81AF4FA84256BC182752B6A684AD_12</vt:lpwstr>
  </property>
</Properties>
</file>