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val="en-US" w:eastAsia="zh-CN"/>
        </w:rPr>
        <w:t>2021年密云区固定资产投资（不含农户）情况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2021年，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eastAsia="zh-CN"/>
        </w:rPr>
        <w:t>密云区固定资产投资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val="en-US" w:eastAsia="zh-CN"/>
        </w:rPr>
        <w:t>(不含农户）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增长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7.9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。其中，建安投资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增长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.3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%。</w:t>
      </w:r>
    </w:p>
    <w:p>
      <w:pP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5271135" cy="3312160"/>
            <wp:effectExtent l="0" t="0" r="5715" b="2540"/>
            <wp:docPr id="10" name="图片 10" descr="密云区固定资产投资及建安投资增速（2021-1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密云区固定资产投资及建安投资增速（2021-12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96985"/>
    <w:rsid w:val="0A8B6A7C"/>
    <w:rsid w:val="0B7C2C6D"/>
    <w:rsid w:val="32A64A1E"/>
    <w:rsid w:val="3FB96985"/>
    <w:rsid w:val="586D0ECA"/>
    <w:rsid w:val="724C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eastAsia="华文中宋"/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2022-01-28T05:52:00Z</dcterms:created>
  <dc:creator>Administrator</dc:creator>
  <cp:lastModifiedBy>Administrator</cp:lastModifiedBy>
  <dcterms:modified xsi:type="dcterms:W3CDTF">2022-01-28T05:52:45Z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