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 xml:space="preserve"> 2021年1-5月</w:t>
      </w: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密云区固定资产投资及建安投资增速</w:t>
      </w:r>
    </w:p>
    <w:bookmarkEnd w:id="0"/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2021年1-5月，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eastAsia="zh-CN"/>
        </w:rPr>
        <w:t>密云区固定资产投资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(不含农户）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2.7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。其中，建安投资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19.6%。</w:t>
      </w:r>
    </w:p>
    <w:p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66690" cy="3089275"/>
            <wp:effectExtent l="0" t="0" r="10160" b="15875"/>
            <wp:docPr id="2" name="图片 2" descr="固定资产投资及建安投资增速（2021-5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固定资产投资及建安投资增速（2021-5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84F68"/>
    <w:rsid w:val="05884F68"/>
    <w:rsid w:val="498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2021-06-22T01:05:00Z</dcterms:created>
  <dc:creator>rpb01</dc:creator>
  <cp:lastModifiedBy>rpb01</cp:lastModifiedBy>
  <dcterms:modified xsi:type="dcterms:W3CDTF">2021-06-22T01:17:58Z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