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C243C">
      <w:pPr>
        <w:jc w:val="center"/>
        <w:rPr>
          <w:rFonts w:ascii="仿宋_GB2312" w:eastAsia="仿宋_GB2312"/>
          <w:b/>
          <w:sz w:val="32"/>
          <w:szCs w:val="32"/>
        </w:rPr>
      </w:pPr>
    </w:p>
    <w:p w14:paraId="794F1003">
      <w:pPr>
        <w:jc w:val="center"/>
        <w:rPr>
          <w:rFonts w:ascii="黑体" w:eastAsia="黑体"/>
          <w:sz w:val="72"/>
          <w:szCs w:val="72"/>
        </w:rPr>
      </w:pPr>
    </w:p>
    <w:p w14:paraId="4618EB1E">
      <w:pPr>
        <w:jc w:val="center"/>
        <w:rPr>
          <w:rFonts w:ascii="黑体" w:eastAsia="黑体"/>
          <w:sz w:val="72"/>
          <w:szCs w:val="72"/>
        </w:rPr>
      </w:pPr>
    </w:p>
    <w:p w14:paraId="22F74D9D">
      <w:pPr>
        <w:jc w:val="center"/>
        <w:rPr>
          <w:rFonts w:ascii="黑体" w:eastAsia="黑体"/>
          <w:sz w:val="72"/>
          <w:szCs w:val="72"/>
        </w:rPr>
      </w:pPr>
    </w:p>
    <w:p w14:paraId="0F1CA7E0">
      <w:pPr>
        <w:jc w:val="center"/>
        <w:rPr>
          <w:rFonts w:hint="eastAsia" w:ascii="黑体" w:eastAsia="黑体"/>
          <w:sz w:val="72"/>
          <w:szCs w:val="72"/>
          <w:lang w:val="en-US" w:eastAsia="zh-CN"/>
        </w:rPr>
      </w:pPr>
      <w:r>
        <w:rPr>
          <w:rFonts w:hint="eastAsia" w:ascii="黑体" w:eastAsia="黑体"/>
          <w:color w:val="auto"/>
          <w:sz w:val="72"/>
          <w:szCs w:val="72"/>
          <w:lang w:val="en-US" w:eastAsia="zh-CN"/>
        </w:rPr>
        <w:t>北京市密云区高岭镇人民政府</w:t>
      </w:r>
    </w:p>
    <w:p w14:paraId="7B4A2E6F">
      <w:pPr>
        <w:jc w:val="center"/>
        <w:rPr>
          <w:rFonts w:hint="eastAsia" w:ascii="黑体" w:eastAsia="黑体"/>
          <w:sz w:val="72"/>
          <w:szCs w:val="72"/>
          <w:lang w:eastAsia="zh-CN"/>
        </w:rPr>
      </w:pPr>
      <w:r>
        <w:rPr>
          <w:rFonts w:hint="eastAsia" w:ascii="黑体" w:eastAsia="黑体"/>
          <w:sz w:val="72"/>
          <w:szCs w:val="72"/>
          <w:lang w:eastAsia="zh-CN"/>
        </w:rPr>
        <w:t>2025</w:t>
      </w:r>
      <w:r>
        <w:rPr>
          <w:rFonts w:hint="eastAsia" w:ascii="黑体" w:eastAsia="黑体"/>
          <w:sz w:val="72"/>
          <w:szCs w:val="72"/>
        </w:rPr>
        <w:t>年度部门决算</w:t>
      </w:r>
      <w:r>
        <w:rPr>
          <w:rFonts w:hint="eastAsia" w:ascii="黑体" w:eastAsia="黑体"/>
          <w:sz w:val="72"/>
          <w:szCs w:val="72"/>
          <w:lang w:eastAsia="zh-CN"/>
        </w:rPr>
        <w:t>报表及说明</w:t>
      </w:r>
    </w:p>
    <w:p w14:paraId="7C7F7DC8">
      <w:pPr>
        <w:jc w:val="center"/>
        <w:rPr>
          <w:rFonts w:ascii="黑体" w:eastAsia="黑体"/>
          <w:sz w:val="52"/>
          <w:szCs w:val="52"/>
        </w:rPr>
      </w:pPr>
    </w:p>
    <w:p w14:paraId="015DCF07">
      <w:pPr>
        <w:jc w:val="center"/>
        <w:rPr>
          <w:rFonts w:ascii="黑体" w:eastAsia="黑体"/>
          <w:sz w:val="52"/>
          <w:szCs w:val="52"/>
        </w:rPr>
      </w:pPr>
    </w:p>
    <w:p w14:paraId="79744705">
      <w:pPr>
        <w:jc w:val="center"/>
        <w:rPr>
          <w:rFonts w:ascii="黑体" w:eastAsia="黑体"/>
          <w:sz w:val="52"/>
          <w:szCs w:val="52"/>
        </w:rPr>
      </w:pPr>
    </w:p>
    <w:p w14:paraId="2171BC0D">
      <w:pPr>
        <w:jc w:val="center"/>
        <w:rPr>
          <w:rFonts w:ascii="黑体" w:eastAsia="黑体"/>
          <w:sz w:val="52"/>
          <w:szCs w:val="52"/>
        </w:rPr>
      </w:pPr>
    </w:p>
    <w:p w14:paraId="77459596">
      <w:pPr>
        <w:jc w:val="center"/>
        <w:rPr>
          <w:rFonts w:ascii="黑体" w:eastAsia="黑体"/>
          <w:sz w:val="32"/>
          <w:szCs w:val="32"/>
        </w:rPr>
      </w:pPr>
    </w:p>
    <w:p w14:paraId="1B5F918D">
      <w:pPr>
        <w:spacing w:line="500" w:lineRule="exact"/>
        <w:ind w:firstLine="645"/>
        <w:jc w:val="center"/>
        <w:rPr>
          <w:rFonts w:ascii="宋体" w:hAnsi="宋体" w:cs="宋体"/>
          <w:b/>
          <w:bCs/>
          <w:kern w:val="0"/>
          <w:sz w:val="44"/>
          <w:szCs w:val="36"/>
        </w:rPr>
      </w:pPr>
      <w:r>
        <w:rPr>
          <w:rFonts w:hint="eastAsia" w:ascii="宋体" w:hAnsi="宋体" w:cs="宋体"/>
          <w:b/>
          <w:bCs/>
          <w:kern w:val="0"/>
          <w:sz w:val="44"/>
          <w:szCs w:val="36"/>
        </w:rPr>
        <w:t>目    录</w:t>
      </w:r>
    </w:p>
    <w:p w14:paraId="774FDC37">
      <w:pPr>
        <w:spacing w:line="500" w:lineRule="exact"/>
        <w:ind w:firstLine="645"/>
        <w:jc w:val="center"/>
        <w:rPr>
          <w:rFonts w:hint="eastAsia" w:ascii="宋体" w:hAnsi="宋体" w:cs="宋体"/>
          <w:b/>
          <w:bCs/>
          <w:kern w:val="0"/>
          <w:sz w:val="36"/>
          <w:szCs w:val="36"/>
        </w:rPr>
      </w:pPr>
    </w:p>
    <w:p w14:paraId="4ABCB3AC">
      <w:pPr>
        <w:tabs>
          <w:tab w:val="center" w:pos="6979"/>
        </w:tabs>
        <w:spacing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hint="eastAsia" w:ascii="宋体" w:hAnsi="宋体" w:cs="宋体"/>
          <w:bCs/>
          <w:spacing w:val="40"/>
          <w:kern w:val="0"/>
          <w:sz w:val="32"/>
          <w:szCs w:val="32"/>
          <w:lang w:val="en-US" w:eastAsia="zh-CN"/>
        </w:rPr>
        <w:t>5</w:t>
      </w:r>
      <w:r>
        <w:rPr>
          <w:rFonts w:hint="eastAsia" w:ascii="宋体" w:hAnsi="宋体" w:cs="宋体"/>
          <w:bCs/>
          <w:spacing w:val="40"/>
          <w:kern w:val="0"/>
          <w:sz w:val="32"/>
          <w:szCs w:val="32"/>
        </w:rPr>
        <w:t>年度部门决算报表</w:t>
      </w:r>
    </w:p>
    <w:p w14:paraId="71FEA314">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44731423">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5068ABD7">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221B056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35785E10">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5F2A9098">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5C3227FD">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75B3A61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八</w:t>
      </w:r>
      <w:r>
        <w:rPr>
          <w:rFonts w:hint="eastAsia" w:ascii="仿宋_GB2312" w:hAnsi="仿宋" w:eastAsia="仿宋_GB2312" w:cs="宋体"/>
          <w:bCs/>
          <w:spacing w:val="40"/>
          <w:kern w:val="0"/>
          <w:sz w:val="32"/>
          <w:szCs w:val="32"/>
        </w:rPr>
        <w:t>、</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1DAF77B6">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九</w:t>
      </w:r>
      <w:r>
        <w:rPr>
          <w:rFonts w:hint="eastAsia" w:ascii="仿宋_GB2312" w:hAnsi="仿宋" w:eastAsia="仿宋_GB2312" w:cs="宋体"/>
          <w:bCs/>
          <w:spacing w:val="40"/>
          <w:kern w:val="0"/>
          <w:sz w:val="32"/>
          <w:szCs w:val="32"/>
        </w:rPr>
        <w:t>、国有资本经营预算财政拨款支出决算表</w:t>
      </w:r>
    </w:p>
    <w:p w14:paraId="21591E74">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1D420BC8">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3A20042D">
      <w:pPr>
        <w:tabs>
          <w:tab w:val="center" w:pos="6979"/>
        </w:tabs>
        <w:spacing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hint="eastAsia" w:ascii="宋体" w:hAnsi="宋体"/>
          <w:spacing w:val="40"/>
          <w:sz w:val="32"/>
          <w:szCs w:val="32"/>
          <w:lang w:val="en-US" w:eastAsia="zh-CN"/>
        </w:rPr>
        <w:t>5</w:t>
      </w:r>
      <w:r>
        <w:rPr>
          <w:rFonts w:hint="eastAsia" w:ascii="宋体" w:hAnsi="宋体"/>
          <w:spacing w:val="40"/>
          <w:sz w:val="32"/>
          <w:szCs w:val="32"/>
        </w:rPr>
        <w:t>年度部门决算说明</w:t>
      </w:r>
    </w:p>
    <w:p w14:paraId="088B02B4">
      <w:pPr>
        <w:tabs>
          <w:tab w:val="center" w:pos="6979"/>
        </w:tabs>
        <w:spacing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hint="eastAsia" w:ascii="宋体" w:hAnsi="宋体"/>
          <w:spacing w:val="40"/>
          <w:sz w:val="32"/>
          <w:szCs w:val="32"/>
          <w:lang w:val="en-US" w:eastAsia="zh-CN"/>
        </w:rPr>
        <w:t>5</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014E2BFB">
      <w:pPr>
        <w:tabs>
          <w:tab w:val="center" w:pos="6979"/>
        </w:tabs>
        <w:spacing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hint="eastAsia" w:ascii="宋体" w:hAnsi="宋体" w:cs="宋体"/>
          <w:spacing w:val="40"/>
          <w:kern w:val="0"/>
          <w:sz w:val="32"/>
          <w:szCs w:val="32"/>
          <w:lang w:val="en-US" w:eastAsia="zh-CN"/>
        </w:rPr>
        <w:t>5</w:t>
      </w:r>
      <w:r>
        <w:rPr>
          <w:rFonts w:hint="eastAsia" w:ascii="宋体" w:hAnsi="宋体" w:cs="宋体"/>
          <w:spacing w:val="40"/>
          <w:kern w:val="0"/>
          <w:sz w:val="32"/>
          <w:szCs w:val="32"/>
        </w:rPr>
        <w:t>年度部门绩效评价情况</w:t>
      </w:r>
    </w:p>
    <w:p w14:paraId="14D9EA85">
      <w:pPr>
        <w:tabs>
          <w:tab w:val="center" w:pos="6979"/>
        </w:tabs>
        <w:spacing w:before="156" w:beforeLines="50" w:after="156" w:afterLines="50"/>
        <w:jc w:val="center"/>
        <w:rPr>
          <w:rFonts w:ascii="宋体" w:hAnsi="宋体" w:cs="宋体"/>
          <w:b/>
          <w:bCs/>
          <w:spacing w:val="40"/>
          <w:kern w:val="0"/>
          <w:sz w:val="32"/>
          <w:szCs w:val="32"/>
        </w:rPr>
      </w:pPr>
    </w:p>
    <w:p w14:paraId="3ED2F091">
      <w:pPr>
        <w:tabs>
          <w:tab w:val="center" w:pos="6979"/>
        </w:tabs>
        <w:spacing w:before="156" w:beforeLines="50" w:after="156" w:afterLines="50"/>
        <w:jc w:val="center"/>
        <w:rPr>
          <w:rFonts w:ascii="宋体" w:hAnsi="宋体" w:cs="宋体"/>
          <w:b/>
          <w:bCs/>
          <w:spacing w:val="40"/>
          <w:kern w:val="0"/>
          <w:sz w:val="32"/>
          <w:szCs w:val="32"/>
        </w:rPr>
      </w:pPr>
    </w:p>
    <w:p w14:paraId="1B3F8A4D">
      <w:pPr>
        <w:tabs>
          <w:tab w:val="center" w:pos="6979"/>
        </w:tabs>
        <w:spacing w:before="156" w:beforeLines="50" w:after="156" w:afterLines="50"/>
        <w:jc w:val="center"/>
        <w:rPr>
          <w:rFonts w:ascii="宋体" w:hAnsi="宋体" w:cs="宋体"/>
          <w:b/>
          <w:bCs/>
          <w:spacing w:val="40"/>
          <w:kern w:val="0"/>
          <w:sz w:val="32"/>
          <w:szCs w:val="32"/>
        </w:rPr>
      </w:pPr>
    </w:p>
    <w:p w14:paraId="213264AE">
      <w:pPr>
        <w:tabs>
          <w:tab w:val="center" w:pos="6979"/>
        </w:tabs>
        <w:spacing w:before="156" w:beforeLines="50" w:after="156" w:afterLines="50"/>
        <w:jc w:val="center"/>
        <w:rPr>
          <w:rFonts w:ascii="宋体" w:hAnsi="宋体" w:cs="宋体"/>
          <w:b/>
          <w:bCs/>
          <w:spacing w:val="40"/>
          <w:kern w:val="0"/>
          <w:sz w:val="32"/>
          <w:szCs w:val="32"/>
        </w:rPr>
      </w:pPr>
    </w:p>
    <w:p w14:paraId="342EA837">
      <w:pPr>
        <w:tabs>
          <w:tab w:val="center" w:pos="6979"/>
        </w:tabs>
        <w:spacing w:before="156" w:beforeLines="50" w:after="156" w:afterLines="50"/>
        <w:jc w:val="center"/>
        <w:rPr>
          <w:rFonts w:ascii="宋体" w:hAnsi="宋体" w:cs="宋体"/>
          <w:b/>
          <w:bCs/>
          <w:spacing w:val="40"/>
          <w:kern w:val="0"/>
          <w:sz w:val="32"/>
          <w:szCs w:val="32"/>
        </w:rPr>
      </w:pPr>
    </w:p>
    <w:p w14:paraId="1077E6AA">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44"/>
          <w:szCs w:val="44"/>
        </w:rPr>
        <w:t xml:space="preserve">第一部分 </w:t>
      </w:r>
      <w:r>
        <w:rPr>
          <w:rFonts w:hint="eastAsia" w:ascii="宋体" w:hAnsi="宋体" w:cs="宋体"/>
          <w:b/>
          <w:bCs/>
          <w:spacing w:val="40"/>
          <w:kern w:val="0"/>
          <w:sz w:val="44"/>
          <w:szCs w:val="44"/>
          <w:lang w:eastAsia="zh-CN"/>
        </w:rPr>
        <w:t>2025</w:t>
      </w:r>
      <w:r>
        <w:rPr>
          <w:rFonts w:hint="eastAsia" w:ascii="宋体" w:hAnsi="宋体" w:cs="宋体"/>
          <w:b/>
          <w:bCs/>
          <w:spacing w:val="40"/>
          <w:kern w:val="0"/>
          <w:sz w:val="44"/>
          <w:szCs w:val="44"/>
        </w:rPr>
        <w:t>年度部门决算报表</w:t>
      </w:r>
    </w:p>
    <w:p w14:paraId="3F3EA46B">
      <w:pPr>
        <w:pStyle w:val="2"/>
        <w:rPr>
          <w:b w:val="0"/>
          <w:bCs w:val="0"/>
        </w:rPr>
        <w:sectPr>
          <w:footerReference r:id="rId3" w:type="default"/>
          <w:pgSz w:w="16838" w:h="11906" w:orient="landscape"/>
          <w:pgMar w:top="1134" w:right="1134" w:bottom="1134" w:left="1134" w:header="851" w:footer="992" w:gutter="0"/>
          <w:cols w:space="720" w:num="1"/>
          <w:docGrid w:type="linesAndChars" w:linePitch="312" w:charSpace="0"/>
        </w:sectPr>
      </w:pPr>
      <w:r>
        <w:rPr>
          <w:rFonts w:hint="eastAsia" w:ascii="仿宋_GB2312" w:eastAsia="仿宋_GB2312"/>
          <w:sz w:val="28"/>
          <w:szCs w:val="28"/>
        </w:rPr>
        <w:t xml:space="preserve">   </w:t>
      </w:r>
      <w:r>
        <w:rPr>
          <w:rFonts w:hint="eastAsia" w:ascii="仿宋_GB2312" w:eastAsia="仿宋_GB2312"/>
          <w:b w:val="0"/>
          <w:bCs w:val="0"/>
          <w:sz w:val="28"/>
          <w:szCs w:val="28"/>
        </w:rPr>
        <w:t>报表详见附件。</w:t>
      </w:r>
    </w:p>
    <w:p w14:paraId="5BA78DED">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lang w:eastAsia="zh-CN"/>
        </w:rPr>
        <w:t>2025</w:t>
      </w:r>
      <w:r>
        <w:rPr>
          <w:rFonts w:hint="eastAsia" w:ascii="宋体" w:hAnsi="宋体"/>
          <w:b/>
          <w:spacing w:val="40"/>
          <w:sz w:val="32"/>
          <w:szCs w:val="32"/>
        </w:rPr>
        <w:t>年度部门决算说明</w:t>
      </w:r>
    </w:p>
    <w:p w14:paraId="7CC19860">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一、部门基本情况</w:t>
      </w:r>
    </w:p>
    <w:p w14:paraId="35C47F22">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highlight w:val="none"/>
          <w:lang w:eastAsia="zh-CN"/>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lang w:eastAsia="zh-CN"/>
        </w:rPr>
        <w:t>本部门职责情况</w:t>
      </w:r>
    </w:p>
    <w:p w14:paraId="29CF38F8">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1、贯彻执行法律、法规、规章和市、区政府的决定、命令，执行本级人民代表大会的决议，发布决定和命令。</w:t>
      </w:r>
    </w:p>
    <w:p w14:paraId="05FE0C9E">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2、执行本行政区域内的经济和社会发展计划、预算，管理本行政区域内的经济、教育、科学、文化、卫生、体育事业和财政、民政、司法行政、计划生育等行政工作。</w:t>
      </w:r>
    </w:p>
    <w:p w14:paraId="40471370">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3、保护社会主义的全民所有的财产和劳动群众集体所有的财产，保护公民私人所有的合法财产，维护社会秩序，保障公民的人身权利、民主权利和其他权利。</w:t>
      </w:r>
    </w:p>
    <w:p w14:paraId="5BFA121B">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4、保护各种经济组织的合法权益。</w:t>
      </w:r>
    </w:p>
    <w:p w14:paraId="0E1A4DA8">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5、保障少数民族的权利和尊重少数民族的风俗习惯。</w:t>
      </w:r>
    </w:p>
    <w:p w14:paraId="7D91DA34">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6、保障宪法和法律赋予妇女的男女平等、同工同酬和婚姻自由等各项权利。</w:t>
      </w:r>
    </w:p>
    <w:p w14:paraId="3AECCB84">
      <w:pPr>
        <w:keepNext w:val="0"/>
        <w:keepLines w:val="0"/>
        <w:pageBreakBefore w:val="0"/>
        <w:widowControl w:val="0"/>
        <w:tabs>
          <w:tab w:val="center" w:pos="6979"/>
        </w:tabs>
        <w:kinsoku/>
        <w:wordWrap/>
        <w:overflowPunct/>
        <w:topLinePunct w:val="0"/>
        <w:autoSpaceDE/>
        <w:autoSpaceDN/>
        <w:bidi w:val="0"/>
        <w:adjustRightInd/>
        <w:snapToGrid/>
        <w:spacing w:line="480" w:lineRule="exact"/>
        <w:ind w:firstLine="700" w:firstLineChars="250"/>
        <w:textAlignment w:val="auto"/>
        <w:outlineLvl w:val="9"/>
        <w:rPr>
          <w:rFonts w:hint="eastAsia"/>
          <w:lang w:eastAsia="zh-CN"/>
        </w:rPr>
      </w:pPr>
      <w:r>
        <w:rPr>
          <w:rFonts w:hint="eastAsia" w:ascii="仿宋_GB2312" w:eastAsia="仿宋_GB2312"/>
          <w:sz w:val="28"/>
          <w:szCs w:val="28"/>
          <w:lang w:val="en-US" w:eastAsia="zh-CN"/>
        </w:rPr>
        <w:t>7、承办区政府交办的其他事项。</w:t>
      </w:r>
    </w:p>
    <w:p w14:paraId="05E48844">
      <w:pPr>
        <w:tabs>
          <w:tab w:val="center" w:pos="6979"/>
        </w:tabs>
        <w:spacing w:line="580" w:lineRule="exact"/>
        <w:ind w:firstLine="700" w:firstLineChars="250"/>
        <w:rPr>
          <w:rFonts w:hint="eastAsia" w:ascii="仿宋_GB2312" w:eastAsia="仿宋_GB2312"/>
          <w:sz w:val="28"/>
          <w:szCs w:val="28"/>
          <w:highlight w:val="none"/>
          <w:lang w:eastAsia="zh-CN"/>
        </w:rPr>
      </w:pPr>
      <w:r>
        <w:rPr>
          <w:rFonts w:hint="eastAsia" w:ascii="仿宋_GB2312" w:eastAsia="仿宋_GB2312"/>
          <w:sz w:val="28"/>
          <w:szCs w:val="28"/>
          <w:highlight w:val="none"/>
          <w:lang w:eastAsia="zh-CN"/>
        </w:rPr>
        <w:t>（二）</w:t>
      </w:r>
      <w:r>
        <w:rPr>
          <w:rFonts w:hint="eastAsia" w:ascii="仿宋_GB2312" w:eastAsia="仿宋_GB2312"/>
          <w:sz w:val="28"/>
          <w:szCs w:val="28"/>
          <w:highlight w:val="none"/>
        </w:rPr>
        <w:t>机构</w:t>
      </w:r>
      <w:r>
        <w:rPr>
          <w:rFonts w:ascii="仿宋_GB2312" w:eastAsia="仿宋_GB2312"/>
          <w:sz w:val="28"/>
          <w:szCs w:val="28"/>
          <w:highlight w:val="none"/>
        </w:rPr>
        <w:t>设置</w:t>
      </w:r>
      <w:r>
        <w:rPr>
          <w:rFonts w:hint="eastAsia" w:ascii="仿宋_GB2312" w:eastAsia="仿宋_GB2312"/>
          <w:sz w:val="28"/>
          <w:szCs w:val="28"/>
          <w:highlight w:val="none"/>
          <w:lang w:eastAsia="zh-CN"/>
        </w:rPr>
        <w:t>情况</w:t>
      </w:r>
    </w:p>
    <w:p w14:paraId="0AC86055">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lang w:val="en-US" w:eastAsia="zh-CN"/>
        </w:rPr>
        <w:t>综合设置6个党政机构，5个事业单位，1个综合行政执法队，1个镇纪委、区监委派出高岭镇监察办公室。</w:t>
      </w:r>
    </w:p>
    <w:p w14:paraId="7BA3DE19">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2E175EF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23805.54</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9267.56</w:t>
      </w:r>
      <w:r>
        <w:rPr>
          <w:rFonts w:hint="eastAsia" w:ascii="仿宋_GB2312" w:eastAsia="仿宋_GB2312"/>
          <w:sz w:val="28"/>
          <w:szCs w:val="28"/>
        </w:rPr>
        <w:t>万元，增长</w:t>
      </w:r>
      <w:r>
        <w:rPr>
          <w:rFonts w:hint="eastAsia" w:ascii="仿宋_GB2312" w:eastAsia="仿宋_GB2312"/>
          <w:sz w:val="28"/>
          <w:szCs w:val="28"/>
          <w:lang w:val="en-US" w:eastAsia="zh-CN"/>
        </w:rPr>
        <w:t>63.75</w:t>
      </w:r>
      <w:r>
        <w:rPr>
          <w:rFonts w:hint="eastAsia" w:ascii="仿宋_GB2312" w:eastAsia="仿宋_GB2312"/>
          <w:sz w:val="28"/>
          <w:szCs w:val="28"/>
        </w:rPr>
        <w:t>%。</w:t>
      </w:r>
    </w:p>
    <w:p w14:paraId="18E2C2F0">
      <w:pPr>
        <w:tabs>
          <w:tab w:val="center" w:pos="6979"/>
        </w:tabs>
        <w:spacing w:line="580" w:lineRule="exact"/>
        <w:ind w:firstLine="570"/>
        <w:rPr>
          <w:rFonts w:hint="eastAsia" w:ascii="仿宋_GB2312" w:eastAsia="仿宋_GB2312"/>
          <w:sz w:val="28"/>
          <w:szCs w:val="28"/>
          <w:highlight w:val="none"/>
        </w:rPr>
      </w:pPr>
      <w:r>
        <w:rPr>
          <w:rFonts w:hint="eastAsia" w:ascii="仿宋_GB2312" w:eastAsia="仿宋_GB2312"/>
          <w:sz w:val="28"/>
          <w:szCs w:val="28"/>
          <w:highlight w:val="none"/>
        </w:rPr>
        <w:t>（一</w:t>
      </w:r>
      <w:r>
        <w:rPr>
          <w:rFonts w:ascii="仿宋_GB2312" w:eastAsia="仿宋_GB2312"/>
          <w:sz w:val="28"/>
          <w:szCs w:val="28"/>
          <w:highlight w:val="none"/>
        </w:rPr>
        <w:t>）</w:t>
      </w:r>
      <w:r>
        <w:rPr>
          <w:rFonts w:hint="eastAsia" w:ascii="仿宋_GB2312" w:eastAsia="仿宋_GB2312"/>
          <w:sz w:val="28"/>
          <w:szCs w:val="28"/>
          <w:highlight w:val="none"/>
        </w:rPr>
        <w:t>收入决算</w:t>
      </w:r>
      <w:r>
        <w:rPr>
          <w:rFonts w:ascii="仿宋_GB2312" w:eastAsia="仿宋_GB2312"/>
          <w:sz w:val="28"/>
          <w:szCs w:val="28"/>
          <w:highlight w:val="none"/>
        </w:rPr>
        <w:t>说明</w:t>
      </w:r>
    </w:p>
    <w:p w14:paraId="6B6E6343">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年度本年收入合计</w:t>
      </w:r>
      <w:r>
        <w:rPr>
          <w:rFonts w:ascii="仿宋_GB2312" w:eastAsia="仿宋_GB2312"/>
          <w:sz w:val="28"/>
          <w:szCs w:val="28"/>
        </w:rPr>
        <w:t>23752.68</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9891.9</w:t>
      </w:r>
      <w:r>
        <w:rPr>
          <w:rFonts w:hint="eastAsia" w:ascii="仿宋_GB2312" w:eastAsia="仿宋_GB2312"/>
          <w:sz w:val="28"/>
          <w:szCs w:val="28"/>
        </w:rPr>
        <w:t>万元，增长</w:t>
      </w:r>
      <w:r>
        <w:rPr>
          <w:rFonts w:hint="eastAsia" w:ascii="仿宋_GB2312" w:eastAsia="仿宋_GB2312"/>
          <w:sz w:val="28"/>
          <w:szCs w:val="28"/>
          <w:lang w:val="en-US" w:eastAsia="zh-CN"/>
        </w:rPr>
        <w:t>71.37</w:t>
      </w:r>
      <w:r>
        <w:rPr>
          <w:rFonts w:hint="eastAsia" w:ascii="仿宋_GB2312" w:eastAsia="仿宋_GB2312"/>
          <w:sz w:val="28"/>
          <w:szCs w:val="28"/>
        </w:rPr>
        <w:t>%</w:t>
      </w:r>
      <w:r>
        <w:rPr>
          <w:rFonts w:hint="eastAsia" w:ascii="仿宋_GB2312" w:eastAsia="仿宋_GB2312"/>
          <w:sz w:val="28"/>
          <w:szCs w:val="28"/>
          <w:lang w:eastAsia="zh-CN"/>
        </w:rPr>
        <w:t>。</w:t>
      </w:r>
    </w:p>
    <w:p w14:paraId="2FCB8875">
      <w:pPr>
        <w:numPr>
          <w:ilvl w:val="0"/>
          <w:numId w:val="0"/>
        </w:numPr>
        <w:tabs>
          <w:tab w:val="center" w:pos="6979"/>
        </w:tabs>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1.</w:t>
      </w:r>
      <w:r>
        <w:rPr>
          <w:rFonts w:hint="eastAsia" w:ascii="仿宋_GB2312" w:eastAsia="仿宋_GB2312"/>
          <w:sz w:val="28"/>
          <w:szCs w:val="28"/>
        </w:rPr>
        <w:t>财政拨款收入</w:t>
      </w:r>
      <w:r>
        <w:rPr>
          <w:rFonts w:ascii="仿宋_GB2312" w:eastAsia="仿宋_GB2312"/>
          <w:sz w:val="28"/>
          <w:szCs w:val="28"/>
        </w:rPr>
        <w:t>23752.68</w:t>
      </w:r>
      <w:r>
        <w:rPr>
          <w:rFonts w:hint="eastAsia" w:ascii="仿宋_GB2312" w:eastAsia="仿宋_GB2312"/>
          <w:sz w:val="28"/>
          <w:szCs w:val="28"/>
        </w:rPr>
        <w:t>万元，占收入合计的</w:t>
      </w:r>
      <w:r>
        <w:rPr>
          <w:rFonts w:hint="eastAsia" w:ascii="仿宋_GB2312" w:eastAsia="仿宋_GB2312"/>
          <w:sz w:val="28"/>
          <w:szCs w:val="28"/>
          <w:lang w:eastAsia="zh-CN"/>
        </w:rPr>
        <w:t>100%。</w:t>
      </w:r>
      <w:r>
        <w:rPr>
          <w:rFonts w:hint="eastAsia" w:ascii="仿宋_GB2312" w:eastAsia="仿宋_GB2312"/>
          <w:sz w:val="28"/>
          <w:szCs w:val="28"/>
        </w:rPr>
        <w:t>其中：</w:t>
      </w:r>
      <w:r>
        <w:rPr>
          <w:rFonts w:hint="eastAsia" w:ascii="仿宋_GB2312" w:eastAsia="仿宋_GB2312"/>
          <w:sz w:val="28"/>
          <w:szCs w:val="28"/>
          <w:lang w:eastAsia="zh-CN"/>
        </w:rPr>
        <w:t>一般公共预算财政拨款收入</w:t>
      </w:r>
      <w:r>
        <w:rPr>
          <w:rFonts w:ascii="仿宋_GB2312" w:eastAsia="仿宋_GB2312"/>
          <w:sz w:val="28"/>
          <w:szCs w:val="28"/>
        </w:rPr>
        <w:t>22715.29</w:t>
      </w:r>
      <w:r>
        <w:rPr>
          <w:rFonts w:hint="eastAsia" w:ascii="仿宋_GB2312" w:eastAsia="仿宋_GB2312"/>
          <w:sz w:val="28"/>
          <w:szCs w:val="28"/>
        </w:rPr>
        <w:t>万元，占收入合计的</w:t>
      </w:r>
      <w:r>
        <w:rPr>
          <w:rFonts w:hint="eastAsia" w:ascii="仿宋_GB2312" w:eastAsia="仿宋_GB2312"/>
          <w:sz w:val="28"/>
          <w:szCs w:val="28"/>
          <w:lang w:eastAsia="zh-CN"/>
        </w:rPr>
        <w:t>95.63</w:t>
      </w:r>
      <w:r>
        <w:rPr>
          <w:rFonts w:hint="eastAsia" w:ascii="仿宋_GB2312" w:eastAsia="仿宋_GB2312"/>
          <w:sz w:val="28"/>
          <w:szCs w:val="28"/>
        </w:rPr>
        <w:t>%；</w:t>
      </w:r>
      <w:r>
        <w:rPr>
          <w:rFonts w:hint="eastAsia" w:ascii="仿宋_GB2312" w:eastAsia="仿宋_GB2312"/>
          <w:sz w:val="28"/>
          <w:szCs w:val="28"/>
          <w:lang w:eastAsia="zh-CN"/>
        </w:rPr>
        <w:t>政府性基金预算财政拨款收入</w:t>
      </w:r>
      <w:r>
        <w:rPr>
          <w:rFonts w:ascii="仿宋_GB2312" w:eastAsia="仿宋_GB2312"/>
          <w:sz w:val="28"/>
          <w:szCs w:val="28"/>
        </w:rPr>
        <w:t>1037.39</w:t>
      </w:r>
      <w:r>
        <w:rPr>
          <w:rFonts w:hint="eastAsia" w:ascii="仿宋_GB2312" w:eastAsia="仿宋_GB2312"/>
          <w:sz w:val="28"/>
          <w:szCs w:val="28"/>
        </w:rPr>
        <w:t>万元，占收入合计的</w:t>
      </w:r>
      <w:r>
        <w:rPr>
          <w:rFonts w:hint="eastAsia" w:ascii="仿宋_GB2312" w:eastAsia="仿宋_GB2312"/>
          <w:sz w:val="28"/>
          <w:szCs w:val="28"/>
          <w:lang w:eastAsia="zh-CN"/>
        </w:rPr>
        <w:t>4.37</w:t>
      </w:r>
      <w:r>
        <w:rPr>
          <w:rFonts w:hint="eastAsia" w:ascii="仿宋_GB2312" w:eastAsia="仿宋_GB2312"/>
          <w:sz w:val="28"/>
          <w:szCs w:val="28"/>
        </w:rPr>
        <w:t>%；</w:t>
      </w:r>
      <w:r>
        <w:rPr>
          <w:rFonts w:hint="eastAsia" w:ascii="仿宋_GB2312" w:eastAsia="仿宋_GB2312"/>
          <w:sz w:val="28"/>
          <w:szCs w:val="28"/>
          <w:lang w:eastAsia="zh-CN"/>
        </w:rPr>
        <w:t>国有资本经营预算财政拨款收入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491A2FF9">
      <w:pPr>
        <w:numPr>
          <w:ilvl w:val="0"/>
          <w:numId w:val="0"/>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上级补助收入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3D835AF3">
      <w:pPr>
        <w:numPr>
          <w:ilvl w:val="0"/>
          <w:numId w:val="0"/>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事业收入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4960175D">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4.经营收入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3D7C2AC4">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5.附属单位上缴收入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02F161D8">
      <w:pPr>
        <w:tabs>
          <w:tab w:val="center" w:pos="6979"/>
        </w:tabs>
        <w:spacing w:line="580" w:lineRule="exact"/>
        <w:ind w:firstLine="560" w:firstLineChars="200"/>
        <w:rPr>
          <w:rFonts w:hint="eastAsia" w:ascii="仿宋_GB2312" w:eastAsia="仿宋_GB2312" w:cs="Droid Sans"/>
          <w:color w:val="000000"/>
          <w:sz w:val="32"/>
          <w:szCs w:val="32"/>
          <w:highlight w:val="none"/>
          <w:lang w:eastAsia="zh-CN"/>
        </w:rPr>
      </w:pPr>
      <w:r>
        <w:rPr>
          <w:rFonts w:hint="eastAsia" w:ascii="仿宋_GB2312" w:eastAsia="仿宋_GB2312"/>
          <w:sz w:val="28"/>
          <w:szCs w:val="28"/>
        </w:rPr>
        <w:t>6.其他收入</w:t>
      </w:r>
      <w:r>
        <w:rPr>
          <w:rFonts w:ascii="仿宋_GB2312" w:eastAsia="仿宋_GB2312"/>
          <w:sz w:val="28"/>
          <w:szCs w:val="28"/>
        </w:rPr>
        <w:t>0</w:t>
      </w:r>
      <w:r>
        <w:rPr>
          <w:rFonts w:hint="eastAsia" w:ascii="仿宋_GB2312" w:eastAsia="仿宋_GB2312"/>
          <w:sz w:val="28"/>
          <w:szCs w:val="28"/>
        </w:rPr>
        <w:t>万元，占收入合计的</w:t>
      </w:r>
      <w:r>
        <w:rPr>
          <w:rFonts w:hint="eastAsia" w:ascii="仿宋_GB2312" w:eastAsia="仿宋_GB2312"/>
          <w:sz w:val="28"/>
          <w:szCs w:val="28"/>
          <w:lang w:eastAsia="zh-CN"/>
        </w:rPr>
        <w:t>0</w:t>
      </w:r>
      <w:r>
        <w:rPr>
          <w:rFonts w:hint="eastAsia" w:ascii="仿宋_GB2312" w:eastAsia="仿宋_GB2312"/>
          <w:sz w:val="28"/>
          <w:szCs w:val="28"/>
        </w:rPr>
        <w:t>%。</w:t>
      </w:r>
    </w:p>
    <w:p w14:paraId="01BB2050">
      <w:pPr>
        <w:pStyle w:val="2"/>
        <w:ind w:firstLine="0"/>
        <w:jc w:val="center"/>
      </w:pPr>
      <w:r>
        <w:rPr>
          <w:rFonts w:hint="eastAsia" w:ascii="仿宋_GB2312" w:eastAsia="仿宋_GB2312"/>
          <w:color w:val="000000"/>
          <w:sz w:val="32"/>
          <w:szCs w:val="32"/>
          <w:highlight w:val="none"/>
          <w:lang w:val="en-US" w:eastAsia="zh-CN"/>
        </w:rPr>
        <w:t>图1：收入决算</w:t>
      </w:r>
    </w:p>
    <w:p w14:paraId="7FC5C58F">
      <w:pPr>
        <w:pStyle w:val="3"/>
        <w:ind w:firstLine="420"/>
        <w:jc w:val="center"/>
      </w:pPr>
      <w:r>
        <w:drawing>
          <wp:inline distT="0" distB="0" distL="0" distR="0">
            <wp:extent cx="4036695" cy="2328545"/>
            <wp:effectExtent l="4445" t="4445" r="16510" b="10160"/>
            <wp:docPr id="3" name="图表 3" title="{{pieChar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F1069A">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4DE41FAA">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年度本年支出合计</w:t>
      </w:r>
      <w:r>
        <w:rPr>
          <w:rFonts w:ascii="仿宋_GB2312" w:eastAsia="仿宋_GB2312"/>
          <w:sz w:val="28"/>
          <w:szCs w:val="28"/>
        </w:rPr>
        <w:t>23805.54</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9267.56</w:t>
      </w:r>
      <w:r>
        <w:rPr>
          <w:rFonts w:hint="eastAsia" w:ascii="仿宋_GB2312" w:eastAsia="仿宋_GB2312"/>
          <w:sz w:val="28"/>
          <w:szCs w:val="28"/>
        </w:rPr>
        <w:t>万元，增长</w:t>
      </w:r>
      <w:r>
        <w:rPr>
          <w:rFonts w:hint="eastAsia" w:ascii="仿宋_GB2312" w:eastAsia="仿宋_GB2312"/>
          <w:sz w:val="28"/>
          <w:szCs w:val="28"/>
          <w:lang w:val="en-US" w:eastAsia="zh-CN"/>
        </w:rPr>
        <w:t>63.75</w:t>
      </w:r>
      <w:r>
        <w:rPr>
          <w:rFonts w:hint="eastAsia" w:ascii="仿宋_GB2312" w:eastAsia="仿宋_GB2312"/>
          <w:sz w:val="28"/>
          <w:szCs w:val="28"/>
        </w:rPr>
        <w:t>%，其中：基本支出</w:t>
      </w:r>
      <w:r>
        <w:rPr>
          <w:rFonts w:ascii="仿宋_GB2312" w:eastAsia="仿宋_GB2312"/>
          <w:sz w:val="28"/>
          <w:szCs w:val="28"/>
        </w:rPr>
        <w:t>3372.66</w:t>
      </w:r>
      <w:r>
        <w:rPr>
          <w:rFonts w:hint="eastAsia" w:ascii="仿宋_GB2312" w:eastAsia="仿宋_GB2312"/>
          <w:sz w:val="28"/>
          <w:szCs w:val="28"/>
        </w:rPr>
        <w:t>万元，占支出合计的</w:t>
      </w:r>
      <w:r>
        <w:rPr>
          <w:rFonts w:hint="eastAsia" w:ascii="仿宋_GB2312" w:eastAsia="仿宋_GB2312"/>
          <w:sz w:val="28"/>
          <w:szCs w:val="28"/>
          <w:lang w:eastAsia="zh-CN"/>
        </w:rPr>
        <w:t>14.17</w:t>
      </w:r>
      <w:r>
        <w:rPr>
          <w:rFonts w:hint="eastAsia" w:ascii="仿宋_GB2312" w:eastAsia="仿宋_GB2312"/>
          <w:sz w:val="28"/>
          <w:szCs w:val="28"/>
        </w:rPr>
        <w:t>%；项目支出</w:t>
      </w:r>
      <w:r>
        <w:rPr>
          <w:rFonts w:ascii="仿宋_GB2312" w:eastAsia="仿宋_GB2312"/>
          <w:sz w:val="28"/>
          <w:szCs w:val="28"/>
        </w:rPr>
        <w:t>20432.88</w:t>
      </w:r>
      <w:r>
        <w:rPr>
          <w:rFonts w:hint="eastAsia" w:ascii="仿宋_GB2312" w:eastAsia="仿宋_GB2312"/>
          <w:sz w:val="28"/>
          <w:szCs w:val="28"/>
        </w:rPr>
        <w:t>万元，占支出合计的</w:t>
      </w:r>
      <w:r>
        <w:rPr>
          <w:rFonts w:hint="eastAsia" w:ascii="仿宋_GB2312" w:eastAsia="仿宋_GB2312"/>
          <w:sz w:val="28"/>
          <w:szCs w:val="28"/>
          <w:lang w:eastAsia="zh-CN"/>
        </w:rPr>
        <w:t>85.83</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%；经营支出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%；对附属单位补助支出</w:t>
      </w:r>
      <w:r>
        <w:rPr>
          <w:rFonts w:ascii="仿宋_GB2312" w:eastAsia="仿宋_GB2312"/>
          <w:sz w:val="28"/>
          <w:szCs w:val="28"/>
        </w:rPr>
        <w:t>0</w:t>
      </w:r>
      <w:r>
        <w:rPr>
          <w:rFonts w:hint="eastAsia" w:ascii="仿宋_GB2312" w:eastAsia="仿宋_GB2312"/>
          <w:sz w:val="28"/>
          <w:szCs w:val="28"/>
        </w:rPr>
        <w:t>万元，占支出合计的</w:t>
      </w:r>
      <w:r>
        <w:rPr>
          <w:rFonts w:hint="eastAsia" w:ascii="仿宋_GB2312" w:eastAsia="仿宋_GB2312"/>
          <w:sz w:val="28"/>
          <w:szCs w:val="28"/>
          <w:lang w:eastAsia="zh-CN"/>
        </w:rPr>
        <w:t>0</w:t>
      </w:r>
      <w:r>
        <w:rPr>
          <w:rFonts w:hint="eastAsia" w:ascii="仿宋_GB2312" w:eastAsia="仿宋_GB2312"/>
          <w:sz w:val="28"/>
          <w:szCs w:val="28"/>
        </w:rPr>
        <w:t>%。</w:t>
      </w:r>
    </w:p>
    <w:p w14:paraId="44D01FCF">
      <w:pPr>
        <w:pStyle w:val="2"/>
        <w:ind w:firstLine="5795" w:firstLineChars="1804"/>
        <w:jc w:val="both"/>
        <w:rPr>
          <w:rFonts w:ascii="仿宋_GB2312" w:eastAsia="仿宋_GB2312"/>
          <w:color w:val="000000"/>
          <w:sz w:val="32"/>
        </w:rPr>
      </w:pPr>
      <w:r>
        <w:rPr>
          <w:rFonts w:hint="eastAsia" w:ascii="仿宋_GB2312" w:eastAsia="仿宋_GB2312"/>
          <w:color w:val="000000"/>
          <w:sz w:val="32"/>
        </w:rPr>
        <w:t>图2：支出</w:t>
      </w:r>
      <w:r>
        <w:rPr>
          <w:rFonts w:hint="eastAsia" w:ascii="仿宋_GB2312" w:eastAsia="仿宋_GB2312"/>
          <w:color w:val="000000"/>
          <w:sz w:val="32"/>
          <w:lang w:val="en-US" w:eastAsia="zh-CN"/>
        </w:rPr>
        <w:t>决算</w:t>
      </w:r>
    </w:p>
    <w:p w14:paraId="2BF68449">
      <w:pPr>
        <w:jc w:val="center"/>
        <w:rPr>
          <w:rFonts w:ascii="黑体" w:eastAsia="黑体"/>
          <w:b/>
          <w:sz w:val="28"/>
          <w:szCs w:val="28"/>
        </w:rPr>
      </w:pPr>
      <w:r>
        <w:drawing>
          <wp:inline distT="0" distB="0" distL="114300" distR="114300">
            <wp:extent cx="4572000" cy="2743200"/>
            <wp:effectExtent l="4445" t="4445" r="14605" b="14605"/>
            <wp:docPr id="1" name="图表 3" title="{{pieChart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7AB2EF">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7503CCB1">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23805.54</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9267.56</w:t>
      </w:r>
      <w:r>
        <w:rPr>
          <w:rFonts w:hint="eastAsia" w:ascii="仿宋_GB2312" w:eastAsia="仿宋_GB2312"/>
          <w:sz w:val="28"/>
          <w:szCs w:val="28"/>
        </w:rPr>
        <w:t>万元，增长</w:t>
      </w:r>
      <w:r>
        <w:rPr>
          <w:rFonts w:hint="eastAsia" w:ascii="仿宋_GB2312" w:eastAsia="仿宋_GB2312"/>
          <w:sz w:val="28"/>
          <w:szCs w:val="28"/>
          <w:lang w:val="en-US" w:eastAsia="zh-CN"/>
        </w:rPr>
        <w:t>63.75%</w:t>
      </w:r>
      <w:r>
        <w:rPr>
          <w:rFonts w:hint="eastAsia" w:ascii="仿宋_GB2312" w:eastAsia="仿宋_GB2312"/>
          <w:sz w:val="28"/>
          <w:szCs w:val="28"/>
        </w:rPr>
        <w:t>。主要原因：</w:t>
      </w:r>
      <w:r>
        <w:rPr>
          <w:rFonts w:hint="eastAsia" w:ascii="仿宋_GB2312" w:eastAsia="仿宋_GB2312"/>
          <w:color w:val="auto"/>
          <w:sz w:val="28"/>
          <w:szCs w:val="28"/>
        </w:rPr>
        <w:t>区级追加资金增加</w:t>
      </w:r>
      <w:r>
        <w:rPr>
          <w:rFonts w:hint="eastAsia" w:ascii="仿宋_GB2312" w:eastAsia="仿宋_GB2312"/>
          <w:sz w:val="28"/>
          <w:szCs w:val="28"/>
        </w:rPr>
        <w:t>。</w:t>
      </w:r>
    </w:p>
    <w:p w14:paraId="43FBDBAE">
      <w:pPr>
        <w:tabs>
          <w:tab w:val="center" w:pos="6979"/>
        </w:tabs>
        <w:spacing w:line="580" w:lineRule="exact"/>
        <w:ind w:firstLine="551" w:firstLineChars="196"/>
        <w:rPr>
          <w:rFonts w:hint="eastAsia" w:ascii="黑体" w:eastAsia="黑体"/>
          <w:b/>
          <w:sz w:val="28"/>
          <w:szCs w:val="28"/>
        </w:rPr>
      </w:pPr>
      <w:r>
        <w:rPr>
          <w:rFonts w:hint="eastAsia" w:ascii="黑体" w:eastAsia="黑体"/>
          <w:b/>
          <w:sz w:val="28"/>
          <w:szCs w:val="28"/>
        </w:rPr>
        <w:t>四、一般公共预算财政拨款支出决算情况说明</w:t>
      </w:r>
    </w:p>
    <w:p w14:paraId="3D6621D6">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14:paraId="4FC99F1D">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年度一般公共预算财政拨款支出</w:t>
      </w:r>
      <w:r>
        <w:rPr>
          <w:rFonts w:ascii="仿宋_GB2312" w:eastAsia="仿宋_GB2312"/>
          <w:sz w:val="28"/>
          <w:szCs w:val="28"/>
        </w:rPr>
        <w:t>22768.15</w:t>
      </w:r>
      <w:r>
        <w:rPr>
          <w:rFonts w:hint="eastAsia" w:ascii="仿宋_GB2312" w:eastAsia="仿宋_GB2312"/>
          <w:sz w:val="28"/>
          <w:szCs w:val="28"/>
        </w:rPr>
        <w:t>万元，主要用于以下方面（按大类）：</w:t>
      </w:r>
      <w:r>
        <w:rPr>
          <w:rFonts w:hint="eastAsia" w:ascii="仿宋_GB2312" w:eastAsia="仿宋_GB2312"/>
          <w:color w:val="auto"/>
          <w:sz w:val="28"/>
          <w:szCs w:val="28"/>
        </w:rPr>
        <w:t>一般公共服务支出</w:t>
      </w:r>
      <w:r>
        <w:rPr>
          <w:rFonts w:hint="eastAsia" w:ascii="仿宋_GB2312" w:eastAsia="仿宋_GB2312"/>
          <w:color w:val="auto"/>
          <w:sz w:val="28"/>
          <w:szCs w:val="28"/>
          <w:lang w:val="en-US" w:eastAsia="zh-CN"/>
        </w:rPr>
        <w:t>12744.82</w:t>
      </w:r>
      <w:r>
        <w:rPr>
          <w:rFonts w:hint="eastAsia" w:ascii="仿宋_GB2312" w:eastAsia="仿宋_GB2312"/>
          <w:color w:val="auto"/>
          <w:sz w:val="28"/>
          <w:szCs w:val="28"/>
        </w:rPr>
        <w:t>万元，占本年财政拨款支出</w:t>
      </w:r>
      <w:r>
        <w:rPr>
          <w:rFonts w:hint="eastAsia" w:ascii="仿宋_GB2312" w:eastAsia="仿宋_GB2312"/>
          <w:color w:val="auto"/>
          <w:sz w:val="28"/>
          <w:szCs w:val="28"/>
          <w:lang w:val="en-US" w:eastAsia="zh-CN"/>
        </w:rPr>
        <w:t>55.98</w:t>
      </w:r>
      <w:r>
        <w:rPr>
          <w:rFonts w:hint="eastAsia" w:ascii="仿宋_GB2312" w:eastAsia="仿宋_GB2312"/>
          <w:color w:val="auto"/>
          <w:sz w:val="28"/>
          <w:szCs w:val="28"/>
        </w:rPr>
        <w:t>%；</w:t>
      </w:r>
      <w:r>
        <w:rPr>
          <w:rFonts w:hint="eastAsia" w:ascii="仿宋_GB2312" w:eastAsia="仿宋_GB2312"/>
          <w:color w:val="auto"/>
          <w:sz w:val="28"/>
          <w:szCs w:val="28"/>
          <w:lang w:eastAsia="zh-CN"/>
        </w:rPr>
        <w:t>文化旅游体育与传媒支出</w:t>
      </w:r>
      <w:r>
        <w:rPr>
          <w:rFonts w:hint="eastAsia" w:ascii="仿宋_GB2312" w:eastAsia="仿宋_GB2312"/>
          <w:color w:val="auto"/>
          <w:sz w:val="28"/>
          <w:szCs w:val="28"/>
          <w:lang w:val="en-US" w:eastAsia="zh-CN"/>
        </w:rPr>
        <w:t>580.53万元</w:t>
      </w:r>
      <w:r>
        <w:rPr>
          <w:rFonts w:hint="eastAsia" w:ascii="仿宋_GB2312" w:eastAsia="仿宋_GB2312"/>
          <w:color w:val="auto"/>
          <w:sz w:val="28"/>
          <w:szCs w:val="28"/>
          <w:lang w:eastAsia="zh-CN"/>
        </w:rPr>
        <w:t>，</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2.55</w:t>
      </w:r>
      <w:r>
        <w:rPr>
          <w:rFonts w:hint="eastAsia" w:ascii="仿宋_GB2312" w:eastAsia="仿宋_GB2312"/>
          <w:color w:val="auto"/>
          <w:sz w:val="28"/>
          <w:szCs w:val="28"/>
        </w:rPr>
        <w:t>%；</w:t>
      </w:r>
      <w:r>
        <w:rPr>
          <w:rFonts w:hint="eastAsia" w:ascii="仿宋_GB2312" w:eastAsia="仿宋_GB2312"/>
          <w:color w:val="auto"/>
          <w:sz w:val="28"/>
          <w:szCs w:val="28"/>
          <w:lang w:eastAsia="zh-CN"/>
        </w:rPr>
        <w:t>社会保障和就业支出</w:t>
      </w:r>
      <w:r>
        <w:rPr>
          <w:rFonts w:hint="eastAsia" w:ascii="仿宋_GB2312" w:eastAsia="仿宋_GB2312"/>
          <w:color w:val="auto"/>
          <w:sz w:val="28"/>
          <w:szCs w:val="28"/>
          <w:lang w:val="en-US" w:eastAsia="zh-CN"/>
        </w:rPr>
        <w:t>884.57万元，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3.89</w:t>
      </w:r>
      <w:r>
        <w:rPr>
          <w:rFonts w:hint="eastAsia" w:ascii="仿宋_GB2312" w:eastAsia="仿宋_GB2312"/>
          <w:color w:val="auto"/>
          <w:sz w:val="28"/>
          <w:szCs w:val="28"/>
        </w:rPr>
        <w:t>%；</w:t>
      </w:r>
      <w:r>
        <w:rPr>
          <w:rFonts w:hint="eastAsia" w:ascii="仿宋_GB2312" w:eastAsia="仿宋_GB2312"/>
          <w:color w:val="auto"/>
          <w:sz w:val="28"/>
          <w:szCs w:val="28"/>
          <w:lang w:eastAsia="zh-CN"/>
        </w:rPr>
        <w:t>卫生健康支出</w:t>
      </w:r>
      <w:r>
        <w:rPr>
          <w:rFonts w:hint="eastAsia" w:ascii="仿宋_GB2312" w:eastAsia="仿宋_GB2312"/>
          <w:color w:val="auto"/>
          <w:sz w:val="28"/>
          <w:szCs w:val="28"/>
          <w:lang w:val="en-US" w:eastAsia="zh-CN"/>
        </w:rPr>
        <w:t>273.15万元，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1.2</w:t>
      </w:r>
      <w:r>
        <w:rPr>
          <w:rFonts w:hint="eastAsia" w:ascii="仿宋_GB2312" w:eastAsia="仿宋_GB2312"/>
          <w:color w:val="auto"/>
          <w:sz w:val="28"/>
          <w:szCs w:val="28"/>
        </w:rPr>
        <w:t>%；</w:t>
      </w:r>
      <w:r>
        <w:rPr>
          <w:rFonts w:hint="eastAsia" w:ascii="仿宋_GB2312" w:eastAsia="仿宋_GB2312"/>
          <w:color w:val="auto"/>
          <w:sz w:val="28"/>
          <w:szCs w:val="28"/>
          <w:lang w:eastAsia="zh-CN"/>
        </w:rPr>
        <w:t>节能环保支出</w:t>
      </w:r>
      <w:r>
        <w:rPr>
          <w:rFonts w:hint="eastAsia" w:ascii="仿宋_GB2312" w:eastAsia="仿宋_GB2312"/>
          <w:color w:val="auto"/>
          <w:sz w:val="28"/>
          <w:szCs w:val="28"/>
          <w:lang w:val="en-US" w:eastAsia="zh-CN"/>
        </w:rPr>
        <w:t>283.19万元，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1.24</w:t>
      </w:r>
      <w:r>
        <w:rPr>
          <w:rFonts w:hint="eastAsia" w:ascii="仿宋_GB2312" w:eastAsia="仿宋_GB2312"/>
          <w:color w:val="auto"/>
          <w:sz w:val="28"/>
          <w:szCs w:val="28"/>
        </w:rPr>
        <w:t>%；</w:t>
      </w:r>
      <w:r>
        <w:rPr>
          <w:rFonts w:hint="eastAsia" w:ascii="仿宋_GB2312" w:eastAsia="仿宋_GB2312"/>
          <w:color w:val="auto"/>
          <w:sz w:val="28"/>
          <w:szCs w:val="28"/>
          <w:lang w:eastAsia="zh-CN"/>
        </w:rPr>
        <w:t>城乡社区支出</w:t>
      </w:r>
      <w:r>
        <w:rPr>
          <w:rFonts w:hint="eastAsia" w:ascii="仿宋_GB2312" w:eastAsia="仿宋_GB2312"/>
          <w:color w:val="auto"/>
          <w:sz w:val="28"/>
          <w:szCs w:val="28"/>
          <w:lang w:val="en-US" w:eastAsia="zh-CN"/>
        </w:rPr>
        <w:t>271.33万元，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1.19</w:t>
      </w:r>
      <w:r>
        <w:rPr>
          <w:rFonts w:hint="eastAsia" w:ascii="仿宋_GB2312" w:eastAsia="仿宋_GB2312"/>
          <w:color w:val="auto"/>
          <w:sz w:val="28"/>
          <w:szCs w:val="28"/>
        </w:rPr>
        <w:t>%；</w:t>
      </w:r>
      <w:r>
        <w:rPr>
          <w:rFonts w:hint="eastAsia" w:ascii="仿宋_GB2312" w:eastAsia="仿宋_GB2312"/>
          <w:color w:val="auto"/>
          <w:sz w:val="28"/>
          <w:szCs w:val="28"/>
          <w:lang w:eastAsia="zh-CN"/>
        </w:rPr>
        <w:t>农林水支出</w:t>
      </w:r>
      <w:r>
        <w:rPr>
          <w:rFonts w:hint="eastAsia" w:ascii="仿宋_GB2312" w:eastAsia="仿宋_GB2312"/>
          <w:color w:val="auto"/>
          <w:sz w:val="28"/>
          <w:szCs w:val="28"/>
          <w:lang w:val="en-US" w:eastAsia="zh-CN"/>
        </w:rPr>
        <w:t>6527.05万元，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28.67</w:t>
      </w:r>
      <w:r>
        <w:rPr>
          <w:rFonts w:hint="eastAsia" w:ascii="仿宋_GB2312" w:eastAsia="仿宋_GB2312"/>
          <w:color w:val="auto"/>
          <w:sz w:val="28"/>
          <w:szCs w:val="28"/>
        </w:rPr>
        <w:t>%；交通运输支出</w:t>
      </w:r>
      <w:r>
        <w:rPr>
          <w:rFonts w:hint="eastAsia" w:ascii="仿宋_GB2312" w:eastAsia="仿宋_GB2312"/>
          <w:color w:val="auto"/>
          <w:sz w:val="28"/>
          <w:szCs w:val="28"/>
          <w:lang w:val="en-US" w:eastAsia="zh-CN"/>
        </w:rPr>
        <w:t>17.66万元,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0.08</w:t>
      </w:r>
      <w:r>
        <w:rPr>
          <w:rFonts w:hint="eastAsia" w:ascii="仿宋_GB2312" w:eastAsia="仿宋_GB2312"/>
          <w:color w:val="auto"/>
          <w:sz w:val="28"/>
          <w:szCs w:val="28"/>
        </w:rPr>
        <w:t>%；</w:t>
      </w:r>
      <w:r>
        <w:rPr>
          <w:rFonts w:hint="eastAsia" w:ascii="仿宋_GB2312" w:eastAsia="仿宋_GB2312"/>
          <w:color w:val="auto"/>
          <w:sz w:val="28"/>
          <w:szCs w:val="28"/>
          <w:lang w:eastAsia="zh-CN"/>
        </w:rPr>
        <w:t>资源勘探工业信息等支出</w:t>
      </w:r>
      <w:r>
        <w:rPr>
          <w:rFonts w:hint="eastAsia" w:ascii="仿宋_GB2312" w:eastAsia="仿宋_GB2312"/>
          <w:color w:val="auto"/>
          <w:sz w:val="28"/>
          <w:szCs w:val="28"/>
          <w:lang w:val="en-US" w:eastAsia="zh-CN"/>
        </w:rPr>
        <w:t>2.94万元，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0.01</w:t>
      </w:r>
      <w:r>
        <w:rPr>
          <w:rFonts w:hint="eastAsia" w:ascii="仿宋_GB2312" w:eastAsia="仿宋_GB2312"/>
          <w:color w:val="auto"/>
          <w:sz w:val="28"/>
          <w:szCs w:val="28"/>
        </w:rPr>
        <w:t>%；住房保障支出</w:t>
      </w:r>
      <w:r>
        <w:rPr>
          <w:rFonts w:hint="eastAsia" w:ascii="仿宋_GB2312" w:eastAsia="仿宋_GB2312"/>
          <w:color w:val="auto"/>
          <w:sz w:val="28"/>
          <w:szCs w:val="28"/>
          <w:lang w:val="en-US" w:eastAsia="zh-CN"/>
        </w:rPr>
        <w:t>58.48万元，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0.26</w:t>
      </w:r>
      <w:r>
        <w:rPr>
          <w:rFonts w:hint="eastAsia" w:ascii="仿宋_GB2312" w:eastAsia="仿宋_GB2312"/>
          <w:color w:val="auto"/>
          <w:sz w:val="28"/>
          <w:szCs w:val="28"/>
        </w:rPr>
        <w:t>%；</w:t>
      </w:r>
      <w:r>
        <w:rPr>
          <w:rFonts w:hint="eastAsia" w:ascii="仿宋_GB2312" w:eastAsia="仿宋_GB2312"/>
          <w:color w:val="auto"/>
          <w:sz w:val="28"/>
          <w:szCs w:val="28"/>
          <w:lang w:eastAsia="zh-CN"/>
        </w:rPr>
        <w:t>灾害防治及应急管理支出</w:t>
      </w:r>
      <w:r>
        <w:rPr>
          <w:rFonts w:hint="eastAsia" w:ascii="仿宋_GB2312" w:eastAsia="仿宋_GB2312"/>
          <w:color w:val="auto"/>
          <w:sz w:val="28"/>
          <w:szCs w:val="28"/>
          <w:lang w:val="en-US" w:eastAsia="zh-CN"/>
        </w:rPr>
        <w:t>1124.43万元，</w:t>
      </w:r>
      <w:r>
        <w:rPr>
          <w:rFonts w:hint="eastAsia" w:ascii="仿宋_GB2312" w:eastAsia="仿宋_GB2312"/>
          <w:color w:val="auto"/>
          <w:sz w:val="28"/>
          <w:szCs w:val="28"/>
        </w:rPr>
        <w:t>占本年财政拨款支出</w:t>
      </w:r>
      <w:r>
        <w:rPr>
          <w:rFonts w:hint="eastAsia" w:ascii="仿宋_GB2312" w:eastAsia="仿宋_GB2312"/>
          <w:color w:val="auto"/>
          <w:sz w:val="28"/>
          <w:szCs w:val="28"/>
          <w:lang w:val="en-US" w:eastAsia="zh-CN"/>
        </w:rPr>
        <w:t>4.93</w:t>
      </w:r>
      <w:r>
        <w:rPr>
          <w:rFonts w:hint="eastAsia" w:ascii="仿宋_GB2312" w:eastAsia="仿宋_GB2312"/>
          <w:color w:val="auto"/>
          <w:sz w:val="28"/>
          <w:szCs w:val="28"/>
        </w:rPr>
        <w:t>%。</w:t>
      </w:r>
    </w:p>
    <w:p w14:paraId="4B142389">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14:paraId="72618546">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1、“一般公共服务支出”（类）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12744.82</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8869.11</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sz w:val="28"/>
          <w:szCs w:val="28"/>
        </w:rPr>
        <w:t>。</w:t>
      </w:r>
    </w:p>
    <w:p w14:paraId="7FB2CAC5">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val="en-US" w:eastAsia="zh-CN"/>
        </w:rPr>
        <w:t>文化旅游体育与传媒支出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580.53</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558.73</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28C0B81B">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3</w:t>
      </w:r>
      <w:r>
        <w:rPr>
          <w:rFonts w:hint="eastAsia" w:ascii="仿宋_GB2312" w:eastAsia="仿宋_GB2312"/>
          <w:sz w:val="28"/>
          <w:szCs w:val="28"/>
        </w:rPr>
        <w:t>、“</w:t>
      </w:r>
      <w:r>
        <w:rPr>
          <w:rFonts w:hint="eastAsia" w:ascii="仿宋_GB2312" w:eastAsia="仿宋_GB2312"/>
          <w:sz w:val="28"/>
          <w:szCs w:val="28"/>
          <w:lang w:val="en-US" w:eastAsia="zh-CN"/>
        </w:rPr>
        <w:t>社会保障和就业支出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884.57</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125.9</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075B379A">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lang w:val="en-US" w:eastAsia="zh-CN"/>
        </w:rPr>
        <w:t>卫生健康支出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273.15</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11.13</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0FD0A7B7">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5</w:t>
      </w:r>
      <w:r>
        <w:rPr>
          <w:rFonts w:hint="eastAsia" w:ascii="仿宋_GB2312" w:eastAsia="仿宋_GB2312"/>
          <w:sz w:val="28"/>
          <w:szCs w:val="28"/>
        </w:rPr>
        <w:t>、“</w:t>
      </w:r>
      <w:r>
        <w:rPr>
          <w:rFonts w:hint="eastAsia" w:ascii="仿宋_GB2312" w:eastAsia="仿宋_GB2312"/>
          <w:sz w:val="28"/>
          <w:szCs w:val="28"/>
          <w:lang w:val="en-US" w:eastAsia="zh-CN"/>
        </w:rPr>
        <w:t>节能环保支出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283.19</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16.81</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94.4</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0E7120EE">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6</w:t>
      </w:r>
      <w:r>
        <w:rPr>
          <w:rFonts w:hint="eastAsia" w:ascii="仿宋_GB2312" w:eastAsia="仿宋_GB2312"/>
          <w:sz w:val="28"/>
          <w:szCs w:val="28"/>
        </w:rPr>
        <w:t>、“</w:t>
      </w:r>
      <w:r>
        <w:rPr>
          <w:rFonts w:hint="eastAsia" w:ascii="仿宋_GB2312" w:eastAsia="仿宋_GB2312"/>
          <w:sz w:val="28"/>
          <w:szCs w:val="28"/>
          <w:lang w:val="en-US" w:eastAsia="zh-CN"/>
        </w:rPr>
        <w:t>城乡社区支出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271.33</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147.64</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780A3D41">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7</w:t>
      </w:r>
      <w:r>
        <w:rPr>
          <w:rFonts w:hint="eastAsia" w:ascii="仿宋_GB2312" w:eastAsia="仿宋_GB2312"/>
          <w:sz w:val="28"/>
          <w:szCs w:val="28"/>
        </w:rPr>
        <w:t>、“</w:t>
      </w:r>
      <w:r>
        <w:rPr>
          <w:rFonts w:hint="eastAsia" w:ascii="仿宋_GB2312" w:eastAsia="仿宋_GB2312"/>
          <w:sz w:val="28"/>
          <w:szCs w:val="28"/>
          <w:lang w:val="en-US" w:eastAsia="zh-CN"/>
        </w:rPr>
        <w:t>农林水支出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6527.05</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4198.96</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100</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477B2809">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8</w:t>
      </w:r>
      <w:r>
        <w:rPr>
          <w:rFonts w:hint="eastAsia" w:ascii="仿宋_GB2312" w:eastAsia="仿宋_GB2312"/>
          <w:sz w:val="28"/>
          <w:szCs w:val="28"/>
        </w:rPr>
        <w:t>、“</w:t>
      </w:r>
      <w:r>
        <w:rPr>
          <w:rFonts w:hint="eastAsia" w:ascii="仿宋_GB2312" w:eastAsia="仿宋_GB2312"/>
          <w:color w:val="auto"/>
          <w:sz w:val="28"/>
          <w:szCs w:val="28"/>
        </w:rPr>
        <w:t>交通运输支出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17.66</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17.66</w:t>
      </w:r>
      <w:r>
        <w:rPr>
          <w:rFonts w:hint="eastAsia" w:ascii="仿宋_GB2312" w:eastAsia="仿宋_GB2312"/>
          <w:sz w:val="28"/>
          <w:szCs w:val="28"/>
        </w:rPr>
        <w:t>万元</w:t>
      </w:r>
      <w:r>
        <w:rPr>
          <w:rFonts w:hint="eastAsia" w:ascii="仿宋_GB2312" w:eastAsia="仿宋_GB2312"/>
          <w:color w:val="auto"/>
          <w:sz w:val="28"/>
          <w:szCs w:val="28"/>
          <w:lang w:eastAsia="zh-CN"/>
        </w:rPr>
        <w:t>。</w:t>
      </w:r>
    </w:p>
    <w:p w14:paraId="481E38E3">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9</w:t>
      </w:r>
      <w:r>
        <w:rPr>
          <w:rFonts w:hint="eastAsia" w:ascii="仿宋_GB2312" w:eastAsia="仿宋_GB2312"/>
          <w:sz w:val="28"/>
          <w:szCs w:val="28"/>
        </w:rPr>
        <w:t>、“</w:t>
      </w:r>
      <w:r>
        <w:rPr>
          <w:rFonts w:hint="eastAsia" w:ascii="仿宋_GB2312" w:eastAsia="仿宋_GB2312"/>
          <w:color w:val="auto"/>
          <w:sz w:val="28"/>
          <w:szCs w:val="28"/>
          <w:lang w:eastAsia="zh-CN"/>
        </w:rPr>
        <w:t>资源勘探工业信息等支出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2.94</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2.94</w:t>
      </w:r>
      <w:r>
        <w:rPr>
          <w:rFonts w:hint="eastAsia" w:ascii="仿宋_GB2312" w:eastAsia="仿宋_GB2312"/>
          <w:sz w:val="28"/>
          <w:szCs w:val="28"/>
        </w:rPr>
        <w:t>万元</w:t>
      </w:r>
      <w:r>
        <w:rPr>
          <w:rFonts w:hint="eastAsia" w:ascii="仿宋_GB2312" w:eastAsia="仿宋_GB2312"/>
          <w:color w:val="auto"/>
          <w:sz w:val="28"/>
          <w:szCs w:val="28"/>
          <w:lang w:eastAsia="zh-CN"/>
        </w:rPr>
        <w:t>。</w:t>
      </w:r>
    </w:p>
    <w:p w14:paraId="67A6FFA5">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10</w:t>
      </w:r>
      <w:r>
        <w:rPr>
          <w:rFonts w:hint="eastAsia" w:ascii="仿宋_GB2312" w:eastAsia="仿宋_GB2312"/>
          <w:sz w:val="28"/>
          <w:szCs w:val="28"/>
        </w:rPr>
        <w:t>、“</w:t>
      </w:r>
      <w:r>
        <w:rPr>
          <w:rFonts w:hint="eastAsia" w:ascii="仿宋_GB2312" w:eastAsia="仿宋_GB2312"/>
          <w:color w:val="auto"/>
          <w:sz w:val="28"/>
          <w:szCs w:val="28"/>
        </w:rPr>
        <w:t>住房保障支出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58.48</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w:t>
      </w:r>
      <w:r>
        <w:rPr>
          <w:rFonts w:hint="eastAsia" w:ascii="仿宋_GB2312" w:eastAsia="仿宋_GB2312"/>
          <w:sz w:val="28"/>
          <w:szCs w:val="28"/>
          <w:lang w:eastAsia="zh-CN"/>
        </w:rPr>
        <w:t>减少</w:t>
      </w:r>
      <w:r>
        <w:rPr>
          <w:rFonts w:hint="eastAsia" w:ascii="仿宋_GB2312" w:eastAsia="仿宋_GB2312"/>
          <w:sz w:val="28"/>
          <w:szCs w:val="28"/>
          <w:lang w:val="en-US" w:eastAsia="zh-CN"/>
        </w:rPr>
        <w:t>181.26</w:t>
      </w:r>
      <w:r>
        <w:rPr>
          <w:rFonts w:hint="eastAsia" w:ascii="仿宋_GB2312" w:eastAsia="仿宋_GB2312"/>
          <w:sz w:val="28"/>
          <w:szCs w:val="28"/>
        </w:rPr>
        <w:t>万元，</w:t>
      </w:r>
      <w:r>
        <w:rPr>
          <w:rFonts w:hint="eastAsia" w:ascii="仿宋_GB2312" w:eastAsia="仿宋_GB2312"/>
          <w:sz w:val="28"/>
          <w:szCs w:val="28"/>
          <w:lang w:eastAsia="zh-CN"/>
        </w:rPr>
        <w:t>完成年初预算的</w:t>
      </w:r>
      <w:r>
        <w:rPr>
          <w:rFonts w:hint="eastAsia" w:ascii="仿宋_GB2312" w:eastAsia="仿宋_GB2312"/>
          <w:color w:val="auto"/>
          <w:sz w:val="28"/>
          <w:szCs w:val="28"/>
          <w:lang w:val="en-US" w:eastAsia="zh-CN"/>
        </w:rPr>
        <w:t>24.39</w:t>
      </w:r>
      <w:r>
        <w:rPr>
          <w:rFonts w:hint="eastAsia" w:ascii="仿宋_GB2312" w:eastAsia="仿宋_GB2312"/>
          <w:color w:val="auto"/>
          <w:sz w:val="28"/>
          <w:szCs w:val="28"/>
        </w:rPr>
        <w:t>%</w:t>
      </w:r>
      <w:r>
        <w:rPr>
          <w:rFonts w:hint="eastAsia" w:ascii="仿宋_GB2312" w:eastAsia="仿宋_GB2312"/>
          <w:color w:val="auto"/>
          <w:sz w:val="28"/>
          <w:szCs w:val="28"/>
          <w:lang w:eastAsia="zh-CN"/>
        </w:rPr>
        <w:t>。</w:t>
      </w:r>
    </w:p>
    <w:p w14:paraId="604D0546">
      <w:pPr>
        <w:spacing w:line="580" w:lineRule="exact"/>
        <w:ind w:firstLine="560" w:firstLineChars="200"/>
        <w:rPr>
          <w:rFonts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w:t>
      </w:r>
      <w:r>
        <w:rPr>
          <w:rFonts w:hint="eastAsia" w:ascii="仿宋_GB2312" w:eastAsia="仿宋_GB2312"/>
          <w:color w:val="auto"/>
          <w:sz w:val="28"/>
          <w:szCs w:val="28"/>
          <w:lang w:eastAsia="zh-CN"/>
        </w:rPr>
        <w:t>灾害防治及应急管理支出</w:t>
      </w:r>
      <w:r>
        <w:rPr>
          <w:rFonts w:hint="eastAsia" w:ascii="仿宋_GB2312" w:eastAsia="仿宋_GB2312"/>
          <w:sz w:val="28"/>
          <w:szCs w:val="28"/>
        </w:rPr>
        <w:t>”(类)</w:t>
      </w:r>
      <w:r>
        <w:rPr>
          <w:rFonts w:hint="eastAsia" w:ascii="仿宋_GB2312" w:eastAsia="仿宋_GB2312"/>
          <w:sz w:val="28"/>
          <w:szCs w:val="28"/>
          <w:lang w:eastAsia="zh-CN"/>
        </w:rPr>
        <w:t>2025年</w:t>
      </w:r>
      <w:r>
        <w:rPr>
          <w:rFonts w:hint="eastAsia" w:ascii="仿宋_GB2312" w:eastAsia="仿宋_GB2312"/>
          <w:sz w:val="28"/>
          <w:szCs w:val="28"/>
        </w:rPr>
        <w:t>度决算</w:t>
      </w:r>
      <w:r>
        <w:rPr>
          <w:rFonts w:hint="eastAsia" w:ascii="仿宋_GB2312" w:eastAsia="仿宋_GB2312"/>
          <w:sz w:val="28"/>
          <w:szCs w:val="28"/>
          <w:lang w:val="en-US" w:eastAsia="zh-CN"/>
        </w:rPr>
        <w:t>1124.43</w:t>
      </w:r>
      <w:r>
        <w:rPr>
          <w:rFonts w:hint="eastAsia" w:ascii="仿宋_GB2312" w:eastAsia="仿宋_GB2312"/>
          <w:sz w:val="28"/>
          <w:szCs w:val="28"/>
        </w:rPr>
        <w:t>万元，比</w:t>
      </w:r>
      <w:r>
        <w:rPr>
          <w:rFonts w:hint="eastAsia" w:ascii="仿宋_GB2312" w:eastAsia="仿宋_GB2312"/>
          <w:sz w:val="28"/>
          <w:szCs w:val="28"/>
          <w:lang w:eastAsia="zh-CN"/>
        </w:rPr>
        <w:t>2025年</w:t>
      </w:r>
      <w:r>
        <w:rPr>
          <w:rFonts w:hint="eastAsia" w:ascii="仿宋_GB2312" w:eastAsia="仿宋_GB2312"/>
          <w:sz w:val="28"/>
          <w:szCs w:val="28"/>
        </w:rPr>
        <w:t>度年初预算增加</w:t>
      </w:r>
      <w:r>
        <w:rPr>
          <w:rFonts w:hint="eastAsia" w:ascii="仿宋_GB2312" w:eastAsia="仿宋_GB2312"/>
          <w:sz w:val="28"/>
          <w:szCs w:val="28"/>
          <w:lang w:val="en-US" w:eastAsia="zh-CN"/>
        </w:rPr>
        <w:t>1124.43</w:t>
      </w:r>
      <w:r>
        <w:rPr>
          <w:rFonts w:hint="eastAsia" w:ascii="仿宋_GB2312" w:eastAsia="仿宋_GB2312"/>
          <w:sz w:val="28"/>
          <w:szCs w:val="28"/>
        </w:rPr>
        <w:t>万元</w:t>
      </w:r>
      <w:r>
        <w:rPr>
          <w:rFonts w:hint="eastAsia" w:ascii="仿宋_GB2312" w:eastAsia="仿宋_GB2312"/>
          <w:color w:val="auto"/>
          <w:sz w:val="28"/>
          <w:szCs w:val="28"/>
          <w:lang w:eastAsia="zh-CN"/>
        </w:rPr>
        <w:t>。</w:t>
      </w:r>
    </w:p>
    <w:p w14:paraId="55D379B2">
      <w:pPr>
        <w:spacing w:line="580" w:lineRule="exact"/>
        <w:ind w:firstLine="562"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14:paraId="75DE0B92">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14:paraId="33CA7B93">
      <w:pPr>
        <w:tabs>
          <w:tab w:val="center" w:pos="6979"/>
        </w:tabs>
        <w:spacing w:line="580" w:lineRule="exact"/>
        <w:ind w:firstLine="560" w:firstLineChars="200"/>
        <w:rPr>
          <w:rFonts w:ascii="仿宋_GB2312" w:eastAsia="仿宋_GB2312"/>
          <w:sz w:val="28"/>
          <w:szCs w:val="28"/>
          <w:highlight w:val="none"/>
        </w:rPr>
      </w:pPr>
      <w:r>
        <w:rPr>
          <w:rFonts w:hint="eastAsia" w:ascii="仿宋_GB2312" w:eastAsia="仿宋_GB2312"/>
          <w:sz w:val="28"/>
          <w:szCs w:val="28"/>
          <w:lang w:eastAsia="zh-CN"/>
        </w:rPr>
        <w:t>2025</w:t>
      </w:r>
      <w:r>
        <w:rPr>
          <w:rFonts w:hint="eastAsia" w:ascii="仿宋_GB2312" w:eastAsia="仿宋_GB2312"/>
          <w:sz w:val="28"/>
          <w:szCs w:val="28"/>
        </w:rPr>
        <w:t>年度政府性基金预算财政拨款支出</w:t>
      </w:r>
      <w:r>
        <w:rPr>
          <w:rFonts w:ascii="仿宋_GB2312" w:eastAsia="仿宋_GB2312"/>
          <w:sz w:val="28"/>
          <w:szCs w:val="28"/>
        </w:rPr>
        <w:t>1037.39</w:t>
      </w:r>
      <w:r>
        <w:rPr>
          <w:rFonts w:hint="eastAsia" w:ascii="仿宋_GB2312" w:eastAsia="仿宋_GB2312"/>
          <w:sz w:val="28"/>
          <w:szCs w:val="28"/>
        </w:rPr>
        <w:t>万元，主要用于以下方面（按大类）：</w:t>
      </w:r>
      <w:r>
        <w:rPr>
          <w:rFonts w:hint="eastAsia" w:ascii="仿宋_GB2312" w:eastAsia="仿宋_GB2312"/>
          <w:sz w:val="28"/>
          <w:szCs w:val="28"/>
          <w:highlight w:val="none"/>
        </w:rPr>
        <w:t>城乡社区支出</w:t>
      </w:r>
      <w:r>
        <w:rPr>
          <w:rFonts w:hint="eastAsia" w:ascii="仿宋_GB2312" w:eastAsia="仿宋_GB2312"/>
          <w:sz w:val="28"/>
          <w:szCs w:val="28"/>
          <w:highlight w:val="none"/>
          <w:lang w:val="en-US" w:eastAsia="zh-CN"/>
        </w:rPr>
        <w:t>196.67</w:t>
      </w:r>
      <w:r>
        <w:rPr>
          <w:rFonts w:hint="eastAsia" w:ascii="仿宋_GB2312" w:eastAsia="仿宋_GB2312"/>
          <w:sz w:val="28"/>
          <w:szCs w:val="28"/>
          <w:highlight w:val="none"/>
        </w:rPr>
        <w:t>万元，占本年财政拨款支出</w:t>
      </w:r>
      <w:r>
        <w:rPr>
          <w:rFonts w:hint="eastAsia" w:ascii="仿宋_GB2312" w:eastAsia="仿宋_GB2312"/>
          <w:sz w:val="28"/>
          <w:szCs w:val="28"/>
          <w:highlight w:val="none"/>
          <w:lang w:val="en-US" w:eastAsia="zh-CN"/>
        </w:rPr>
        <w:t>18.96</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农林水</w:t>
      </w:r>
      <w:r>
        <w:rPr>
          <w:rFonts w:hint="eastAsia" w:ascii="仿宋_GB2312" w:eastAsia="仿宋_GB2312"/>
          <w:sz w:val="28"/>
          <w:szCs w:val="28"/>
          <w:highlight w:val="none"/>
        </w:rPr>
        <w:t>支出</w:t>
      </w:r>
      <w:r>
        <w:rPr>
          <w:rFonts w:hint="eastAsia" w:ascii="仿宋_GB2312" w:eastAsia="仿宋_GB2312"/>
          <w:sz w:val="28"/>
          <w:szCs w:val="28"/>
          <w:highlight w:val="none"/>
          <w:lang w:val="en-US" w:eastAsia="zh-CN"/>
        </w:rPr>
        <w:t>745.08</w:t>
      </w:r>
      <w:r>
        <w:rPr>
          <w:rFonts w:hint="eastAsia" w:ascii="仿宋_GB2312" w:eastAsia="仿宋_GB2312"/>
          <w:sz w:val="28"/>
          <w:szCs w:val="28"/>
          <w:highlight w:val="none"/>
        </w:rPr>
        <w:t>万元，占本年财政拨款支出</w:t>
      </w:r>
      <w:r>
        <w:rPr>
          <w:rFonts w:hint="eastAsia" w:ascii="仿宋_GB2312" w:eastAsia="仿宋_GB2312"/>
          <w:sz w:val="28"/>
          <w:szCs w:val="28"/>
          <w:highlight w:val="none"/>
          <w:lang w:val="en-US" w:eastAsia="zh-CN"/>
        </w:rPr>
        <w:t>71.82</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其他</w:t>
      </w:r>
      <w:r>
        <w:rPr>
          <w:rFonts w:hint="eastAsia" w:ascii="仿宋_GB2312" w:eastAsia="仿宋_GB2312"/>
          <w:sz w:val="28"/>
          <w:szCs w:val="28"/>
          <w:highlight w:val="none"/>
        </w:rPr>
        <w:t>支出</w:t>
      </w:r>
      <w:r>
        <w:rPr>
          <w:rFonts w:hint="eastAsia" w:ascii="仿宋_GB2312" w:eastAsia="仿宋_GB2312"/>
          <w:sz w:val="28"/>
          <w:szCs w:val="28"/>
          <w:highlight w:val="none"/>
          <w:lang w:val="en-US" w:eastAsia="zh-CN"/>
        </w:rPr>
        <w:t>95.64</w:t>
      </w:r>
      <w:r>
        <w:rPr>
          <w:rFonts w:hint="eastAsia" w:ascii="仿宋_GB2312" w:eastAsia="仿宋_GB2312"/>
          <w:sz w:val="28"/>
          <w:szCs w:val="28"/>
          <w:highlight w:val="none"/>
        </w:rPr>
        <w:t>万元，占本年财政拨款支出</w:t>
      </w:r>
      <w:r>
        <w:rPr>
          <w:rFonts w:hint="eastAsia" w:ascii="仿宋_GB2312" w:eastAsia="仿宋_GB2312"/>
          <w:sz w:val="28"/>
          <w:szCs w:val="28"/>
          <w:highlight w:val="none"/>
          <w:lang w:val="en-US" w:eastAsia="zh-CN"/>
        </w:rPr>
        <w:t>9.22%</w:t>
      </w:r>
      <w:r>
        <w:rPr>
          <w:rFonts w:hint="eastAsia" w:ascii="仿宋_GB2312" w:eastAsia="仿宋_GB2312"/>
          <w:sz w:val="28"/>
          <w:szCs w:val="28"/>
          <w:highlight w:val="none"/>
        </w:rPr>
        <w:t>。</w:t>
      </w:r>
    </w:p>
    <w:p w14:paraId="212386AC">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14:paraId="78189156">
      <w:pPr>
        <w:tabs>
          <w:tab w:val="center" w:pos="6979"/>
        </w:tabs>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1、“城乡社区支出”（类，下同）2025年度决算</w:t>
      </w:r>
      <w:r>
        <w:rPr>
          <w:rFonts w:hint="eastAsia" w:ascii="仿宋_GB2312" w:eastAsia="仿宋_GB2312"/>
          <w:sz w:val="28"/>
          <w:szCs w:val="28"/>
          <w:lang w:val="en-US" w:eastAsia="zh-CN"/>
        </w:rPr>
        <w:t>196.67</w:t>
      </w:r>
      <w:r>
        <w:rPr>
          <w:rFonts w:hint="eastAsia" w:ascii="仿宋_GB2312" w:eastAsia="仿宋_GB2312"/>
          <w:sz w:val="28"/>
          <w:szCs w:val="28"/>
          <w:lang w:eastAsia="zh-CN"/>
        </w:rPr>
        <w:t>万元，比2025年度年初预算增加</w:t>
      </w:r>
      <w:r>
        <w:rPr>
          <w:rFonts w:hint="eastAsia" w:ascii="仿宋_GB2312" w:eastAsia="仿宋_GB2312"/>
          <w:sz w:val="28"/>
          <w:szCs w:val="28"/>
          <w:lang w:val="en-US" w:eastAsia="zh-CN"/>
        </w:rPr>
        <w:t>196.67</w:t>
      </w:r>
      <w:r>
        <w:rPr>
          <w:rFonts w:hint="eastAsia" w:ascii="仿宋_GB2312" w:eastAsia="仿宋_GB2312"/>
          <w:sz w:val="28"/>
          <w:szCs w:val="28"/>
          <w:lang w:eastAsia="zh-CN"/>
        </w:rPr>
        <w:t>万元。</w:t>
      </w:r>
    </w:p>
    <w:p w14:paraId="3D14C743">
      <w:pPr>
        <w:tabs>
          <w:tab w:val="center" w:pos="6979"/>
        </w:tabs>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2、“农林水支出”（类）2025年度决算</w:t>
      </w:r>
      <w:r>
        <w:rPr>
          <w:rFonts w:hint="eastAsia" w:ascii="仿宋_GB2312" w:eastAsia="仿宋_GB2312"/>
          <w:sz w:val="28"/>
          <w:szCs w:val="28"/>
          <w:lang w:val="en-US" w:eastAsia="zh-CN"/>
        </w:rPr>
        <w:t>745.08</w:t>
      </w:r>
      <w:r>
        <w:rPr>
          <w:rFonts w:hint="eastAsia" w:ascii="仿宋_GB2312" w:eastAsia="仿宋_GB2312"/>
          <w:sz w:val="28"/>
          <w:szCs w:val="28"/>
          <w:lang w:eastAsia="zh-CN"/>
        </w:rPr>
        <w:t>万元，比2025年度年初预算增加</w:t>
      </w:r>
      <w:r>
        <w:rPr>
          <w:rFonts w:hint="eastAsia" w:ascii="仿宋_GB2312" w:eastAsia="仿宋_GB2312"/>
          <w:sz w:val="28"/>
          <w:szCs w:val="28"/>
          <w:lang w:val="en-US" w:eastAsia="zh-CN"/>
        </w:rPr>
        <w:t>745.08</w:t>
      </w:r>
      <w:r>
        <w:rPr>
          <w:rFonts w:hint="eastAsia" w:ascii="仿宋_GB2312" w:eastAsia="仿宋_GB2312"/>
          <w:sz w:val="28"/>
          <w:szCs w:val="28"/>
          <w:lang w:eastAsia="zh-CN"/>
        </w:rPr>
        <w:t>万元。</w:t>
      </w:r>
    </w:p>
    <w:p w14:paraId="749E4B6F">
      <w:pPr>
        <w:tabs>
          <w:tab w:val="center" w:pos="6979"/>
        </w:tabs>
        <w:spacing w:line="580" w:lineRule="exact"/>
        <w:ind w:firstLine="560" w:firstLineChars="200"/>
        <w:rPr>
          <w:rFonts w:hint="eastAsia" w:ascii="仿宋_GB2312" w:hAnsi="Times New Roman" w:eastAsia="仿宋_GB2312" w:cs="Times New Roman"/>
          <w:b w:val="0"/>
          <w:bCs w:val="0"/>
          <w:kern w:val="2"/>
          <w:sz w:val="28"/>
          <w:szCs w:val="28"/>
          <w:highlight w:val="none"/>
          <w:lang w:val="en-US" w:eastAsia="zh-CN" w:bidi="ar-SA"/>
        </w:rPr>
      </w:pPr>
      <w:r>
        <w:rPr>
          <w:rFonts w:hint="eastAsia" w:ascii="仿宋_GB2312" w:eastAsia="仿宋_GB2312"/>
          <w:sz w:val="28"/>
          <w:szCs w:val="28"/>
          <w:lang w:val="en-US" w:eastAsia="zh-CN"/>
        </w:rPr>
        <w:t>3、</w:t>
      </w:r>
      <w:r>
        <w:rPr>
          <w:rFonts w:hint="eastAsia" w:ascii="仿宋_GB2312" w:eastAsia="仿宋_GB2312"/>
          <w:sz w:val="28"/>
          <w:szCs w:val="28"/>
          <w:lang w:eastAsia="zh-CN"/>
        </w:rPr>
        <w:t>“其他</w:t>
      </w:r>
      <w:r>
        <w:rPr>
          <w:rFonts w:hint="eastAsia" w:ascii="仿宋_GB2312" w:eastAsia="仿宋_GB2312"/>
          <w:b w:val="0"/>
          <w:bCs w:val="0"/>
          <w:sz w:val="28"/>
          <w:szCs w:val="28"/>
          <w:highlight w:val="none"/>
          <w:lang w:eastAsia="zh-CN"/>
        </w:rPr>
        <w:t>支出</w:t>
      </w:r>
      <w:r>
        <w:rPr>
          <w:rFonts w:hint="eastAsia" w:ascii="仿宋_GB2312" w:eastAsia="仿宋_GB2312"/>
          <w:b w:val="0"/>
          <w:bCs w:val="0"/>
          <w:sz w:val="28"/>
          <w:szCs w:val="28"/>
          <w:highlight w:val="none"/>
        </w:rPr>
        <w:t>”（类）</w:t>
      </w:r>
      <w:r>
        <w:rPr>
          <w:rFonts w:hint="eastAsia" w:ascii="仿宋_GB2312" w:eastAsia="仿宋_GB2312"/>
          <w:b w:val="0"/>
          <w:bCs w:val="0"/>
          <w:sz w:val="28"/>
          <w:szCs w:val="28"/>
          <w:highlight w:val="none"/>
          <w:lang w:eastAsia="zh-CN"/>
        </w:rPr>
        <w:t>2025年</w:t>
      </w:r>
      <w:r>
        <w:rPr>
          <w:rFonts w:hint="eastAsia" w:ascii="仿宋_GB2312" w:eastAsia="仿宋_GB2312"/>
          <w:b w:val="0"/>
          <w:bCs w:val="0"/>
          <w:sz w:val="28"/>
          <w:szCs w:val="28"/>
          <w:highlight w:val="none"/>
        </w:rPr>
        <w:t>度决算</w:t>
      </w:r>
      <w:r>
        <w:rPr>
          <w:rFonts w:hint="eastAsia" w:ascii="仿宋_GB2312" w:eastAsia="仿宋_GB2312"/>
          <w:b w:val="0"/>
          <w:bCs w:val="0"/>
          <w:sz w:val="28"/>
          <w:szCs w:val="28"/>
          <w:highlight w:val="none"/>
          <w:lang w:val="en-US" w:eastAsia="zh-CN"/>
        </w:rPr>
        <w:t>95.64</w:t>
      </w:r>
      <w:r>
        <w:rPr>
          <w:rFonts w:hint="eastAsia" w:ascii="仿宋_GB2312" w:eastAsia="仿宋_GB2312"/>
          <w:b w:val="0"/>
          <w:bCs w:val="0"/>
          <w:sz w:val="28"/>
          <w:szCs w:val="28"/>
          <w:highlight w:val="none"/>
        </w:rPr>
        <w:t>万元，比</w:t>
      </w:r>
      <w:r>
        <w:rPr>
          <w:rFonts w:hint="eastAsia" w:ascii="仿宋_GB2312" w:eastAsia="仿宋_GB2312"/>
          <w:b w:val="0"/>
          <w:bCs w:val="0"/>
          <w:sz w:val="28"/>
          <w:szCs w:val="28"/>
          <w:highlight w:val="none"/>
          <w:lang w:eastAsia="zh-CN"/>
        </w:rPr>
        <w:t>2025年</w:t>
      </w:r>
      <w:r>
        <w:rPr>
          <w:rFonts w:hint="eastAsia" w:ascii="仿宋_GB2312" w:eastAsia="仿宋_GB2312"/>
          <w:b w:val="0"/>
          <w:bCs w:val="0"/>
          <w:sz w:val="28"/>
          <w:szCs w:val="28"/>
          <w:highlight w:val="none"/>
        </w:rPr>
        <w:t>度年初预算增加</w:t>
      </w:r>
      <w:r>
        <w:rPr>
          <w:rFonts w:hint="eastAsia" w:ascii="仿宋_GB2312" w:eastAsia="仿宋_GB2312"/>
          <w:b w:val="0"/>
          <w:bCs w:val="0"/>
          <w:sz w:val="28"/>
          <w:szCs w:val="28"/>
          <w:highlight w:val="none"/>
          <w:lang w:val="en-US" w:eastAsia="zh-CN"/>
        </w:rPr>
        <w:t>95.64</w:t>
      </w:r>
      <w:r>
        <w:rPr>
          <w:rFonts w:hint="eastAsia" w:ascii="仿宋_GB2312" w:eastAsia="仿宋_GB2312"/>
          <w:b w:val="0"/>
          <w:bCs w:val="0"/>
          <w:sz w:val="28"/>
          <w:szCs w:val="28"/>
          <w:highlight w:val="none"/>
        </w:rPr>
        <w:t>万元。</w:t>
      </w:r>
    </w:p>
    <w:p w14:paraId="6987B702">
      <w:pPr>
        <w:spacing w:line="580" w:lineRule="exact"/>
        <w:ind w:firstLine="562" w:firstLineChars="200"/>
        <w:rPr>
          <w:rFonts w:hint="eastAsia" w:ascii="黑体" w:eastAsia="黑体"/>
          <w:b/>
          <w:sz w:val="28"/>
          <w:szCs w:val="28"/>
        </w:rPr>
      </w:pPr>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p>
    <w:p w14:paraId="3820F7CA">
      <w:pPr>
        <w:ind w:firstLine="537" w:firstLineChars="192"/>
        <w:rPr>
          <w:rFonts w:ascii="仿宋_GB2312" w:eastAsia="仿宋_GB2312"/>
          <w:sz w:val="28"/>
          <w:szCs w:val="28"/>
        </w:rPr>
      </w:pPr>
      <w:r>
        <w:rPr>
          <w:rFonts w:hint="eastAsia" w:ascii="仿宋_GB2312" w:eastAsia="仿宋_GB2312"/>
          <w:sz w:val="28"/>
          <w:szCs w:val="28"/>
          <w:lang w:eastAsia="zh-CN"/>
        </w:rPr>
        <w:t>本单位无此项支出。2025</w:t>
      </w:r>
      <w:r>
        <w:rPr>
          <w:rFonts w:hint="eastAsia" w:ascii="仿宋_GB2312" w:eastAsia="仿宋_GB2312"/>
          <w:sz w:val="28"/>
          <w:szCs w:val="28"/>
        </w:rPr>
        <w:t>年度国有资本经营预算财政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计0</w:t>
      </w:r>
      <w:r>
        <w:rPr>
          <w:rFonts w:hint="eastAsia" w:ascii="仿宋_GB2312" w:eastAsia="仿宋_GB2312"/>
          <w:sz w:val="28"/>
          <w:szCs w:val="28"/>
        </w:rPr>
        <w:t>万元，国有资本经营预算财政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计0</w:t>
      </w:r>
      <w:r>
        <w:rPr>
          <w:rFonts w:hint="eastAsia" w:ascii="仿宋_GB2312" w:eastAsia="仿宋_GB2312"/>
          <w:sz w:val="28"/>
          <w:szCs w:val="28"/>
        </w:rPr>
        <w:t>万元。</w:t>
      </w:r>
    </w:p>
    <w:p w14:paraId="77358279">
      <w:pPr>
        <w:spacing w:line="580" w:lineRule="exact"/>
        <w:ind w:firstLine="551" w:firstLineChars="196"/>
        <w:rPr>
          <w:rFonts w:hint="eastAsia" w:ascii="黑体" w:eastAsia="黑体"/>
          <w:sz w:val="28"/>
          <w:szCs w:val="28"/>
        </w:rPr>
      </w:pPr>
      <w:r>
        <w:rPr>
          <w:rFonts w:hint="eastAsia" w:ascii="黑体" w:eastAsia="黑体"/>
          <w:b/>
          <w:sz w:val="28"/>
          <w:szCs w:val="28"/>
        </w:rPr>
        <w:t>七、财政拨款基本支出决算情况说明</w:t>
      </w:r>
    </w:p>
    <w:p w14:paraId="4046DB5B">
      <w:pPr>
        <w:tabs>
          <w:tab w:val="center" w:pos="6979"/>
        </w:tabs>
        <w:spacing w:line="580" w:lineRule="exact"/>
        <w:ind w:firstLine="548" w:firstLineChars="196"/>
        <w:rPr>
          <w:rFonts w:hint="eastAsia" w:ascii="黑体" w:eastAsia="黑体"/>
          <w:b/>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年度使用一般公共预算财政拨款安排基本支出</w:t>
      </w:r>
      <w:r>
        <w:rPr>
          <w:rFonts w:ascii="仿宋_GB2312" w:eastAsia="仿宋_GB2312"/>
          <w:sz w:val="28"/>
          <w:szCs w:val="28"/>
        </w:rPr>
        <w:t>3372.66</w:t>
      </w:r>
      <w:r>
        <w:rPr>
          <w:rFonts w:hint="eastAsia" w:ascii="仿宋_GB2312" w:eastAsia="仿宋_GB2312"/>
          <w:sz w:val="28"/>
          <w:szCs w:val="28"/>
        </w:rPr>
        <w:t>万元，使用政府性基金财政拨款安排基本支出</w:t>
      </w:r>
      <w:r>
        <w:rPr>
          <w:rFonts w:ascii="仿宋_GB2312" w:eastAsia="仿宋_GB2312"/>
          <w:sz w:val="28"/>
          <w:szCs w:val="28"/>
        </w:rPr>
        <w:t>0</w:t>
      </w:r>
      <w:r>
        <w:rPr>
          <w:rFonts w:hint="eastAsia" w:ascii="仿宋_GB2312" w:eastAsia="仿宋_GB2312"/>
          <w:sz w:val="28"/>
          <w:szCs w:val="28"/>
        </w:rPr>
        <w:t>万元，（1）工资福利支出包括基本工资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手续费、水费、电费、邮电费、取暖费、物业管理费、差旅费、因公出国（境）费、维修（护）费、租赁费、会议费、培训费、公务接待费、专用材料费、劳务费、委托业务费、工会经费、福利费、公务用车运行维护费、</w:t>
      </w:r>
      <w:r>
        <w:rPr>
          <w:rFonts w:ascii="仿宋_GB2312" w:eastAsia="仿宋_GB2312"/>
          <w:sz w:val="28"/>
          <w:szCs w:val="28"/>
          <w:highlight w:val="none"/>
          <w:u w:val="none"/>
        </w:rPr>
        <w:t>其他交通费</w:t>
      </w:r>
      <w:r>
        <w:rPr>
          <w:rFonts w:hint="eastAsia" w:ascii="仿宋_GB2312" w:eastAsia="仿宋_GB2312"/>
          <w:sz w:val="28"/>
          <w:szCs w:val="28"/>
          <w:highlight w:val="none"/>
          <w:u w:val="none"/>
          <w:lang w:eastAsia="zh-CN"/>
        </w:rPr>
        <w:t>用</w:t>
      </w:r>
      <w:r>
        <w:rPr>
          <w:rFonts w:ascii="仿宋_GB2312" w:eastAsia="仿宋_GB2312"/>
          <w:sz w:val="28"/>
          <w:szCs w:val="28"/>
        </w:rPr>
        <w:t>、其他商品和服务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6E1E0320">
      <w:pPr>
        <w:autoSpaceDE w:val="0"/>
        <w:autoSpaceDN w:val="0"/>
        <w:adjustRightInd w:val="0"/>
        <w:spacing w:line="580" w:lineRule="exact"/>
        <w:jc w:val="both"/>
        <w:rPr>
          <w:rFonts w:hint="eastAsia" w:ascii="宋体" w:hAnsi="宋体"/>
          <w:b/>
          <w:spacing w:val="40"/>
          <w:sz w:val="32"/>
          <w:szCs w:val="32"/>
        </w:rPr>
      </w:pPr>
      <w:r>
        <w:rPr>
          <w:rFonts w:ascii="仿宋_GB2312" w:eastAsia="仿宋_GB2312"/>
          <w:b/>
          <w:sz w:val="32"/>
          <w:szCs w:val="32"/>
        </w:rPr>
        <w:tab/>
      </w:r>
    </w:p>
    <w:p w14:paraId="3BE60A1A">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lang w:eastAsia="zh-CN"/>
        </w:rPr>
        <w:t>2025</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14:paraId="5D096903">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14:paraId="7815EFD4">
      <w:pPr>
        <w:spacing w:line="560" w:lineRule="exact"/>
        <w:ind w:firstLine="600"/>
        <w:rPr>
          <w:rFonts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年度“三公”经费财政拨款决算数</w:t>
      </w:r>
      <w:r>
        <w:rPr>
          <w:rFonts w:ascii="仿宋_GB2312" w:eastAsia="仿宋_GB2312"/>
          <w:sz w:val="28"/>
          <w:szCs w:val="28"/>
        </w:rPr>
        <w:t>17.23</w:t>
      </w:r>
      <w:r>
        <w:rPr>
          <w:rFonts w:hint="eastAsia" w:ascii="仿宋_GB2312" w:eastAsia="仿宋_GB2312"/>
          <w:sz w:val="28"/>
          <w:szCs w:val="28"/>
        </w:rPr>
        <w:t>万元，比</w:t>
      </w:r>
      <w:r>
        <w:rPr>
          <w:rFonts w:hint="eastAsia" w:ascii="仿宋_GB2312" w:eastAsia="仿宋_GB2312"/>
          <w:sz w:val="28"/>
          <w:szCs w:val="28"/>
          <w:lang w:eastAsia="zh-CN"/>
        </w:rPr>
        <w:t>2025</w:t>
      </w:r>
      <w:r>
        <w:rPr>
          <w:rFonts w:hint="eastAsia" w:ascii="仿宋_GB2312" w:eastAsia="仿宋_GB2312"/>
          <w:sz w:val="28"/>
          <w:szCs w:val="28"/>
        </w:rPr>
        <w:t>年度“三公”经费财政拨款年初预算</w:t>
      </w:r>
      <w:r>
        <w:rPr>
          <w:rFonts w:ascii="仿宋_GB2312" w:eastAsia="仿宋_GB2312"/>
          <w:sz w:val="28"/>
          <w:szCs w:val="28"/>
        </w:rPr>
        <w:t>23.44</w:t>
      </w:r>
      <w:r>
        <w:rPr>
          <w:rFonts w:hint="eastAsia" w:ascii="仿宋_GB2312" w:eastAsia="仿宋_GB2312"/>
          <w:sz w:val="28"/>
          <w:szCs w:val="28"/>
        </w:rPr>
        <w:t>万元减少</w:t>
      </w:r>
      <w:r>
        <w:rPr>
          <w:rFonts w:ascii="仿宋_GB2312" w:eastAsia="仿宋_GB2312"/>
          <w:sz w:val="28"/>
          <w:szCs w:val="28"/>
        </w:rPr>
        <w:t>6.2</w:t>
      </w:r>
      <w:r>
        <w:rPr>
          <w:rFonts w:hint="eastAsia" w:ascii="仿宋_GB2312" w:eastAsia="仿宋_GB2312"/>
          <w:sz w:val="28"/>
          <w:szCs w:val="28"/>
        </w:rPr>
        <w:t>万元。其中：</w:t>
      </w:r>
    </w:p>
    <w:p w14:paraId="067F1034">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w:t>
      </w:r>
      <w:r>
        <w:rPr>
          <w:rFonts w:hint="eastAsia" w:ascii="仿宋_GB2312" w:eastAsia="仿宋_GB2312"/>
          <w:sz w:val="28"/>
          <w:szCs w:val="28"/>
          <w:lang w:eastAsia="zh-CN"/>
        </w:rPr>
        <w:t>本单位无此项支出。2025</w:t>
      </w:r>
      <w:r>
        <w:rPr>
          <w:rFonts w:hint="eastAsia" w:ascii="仿宋_GB2312" w:eastAsia="仿宋_GB2312"/>
          <w:sz w:val="28"/>
          <w:szCs w:val="28"/>
        </w:rPr>
        <w:t>年度决算数</w:t>
      </w:r>
      <w:r>
        <w:rPr>
          <w:rFonts w:ascii="仿宋_GB2312" w:eastAsia="仿宋_GB2312"/>
          <w:sz w:val="28"/>
          <w:szCs w:val="28"/>
        </w:rPr>
        <w:t>0</w:t>
      </w:r>
      <w:r>
        <w:rPr>
          <w:rFonts w:hint="eastAsia" w:ascii="仿宋_GB2312" w:eastAsia="仿宋_GB2312"/>
          <w:sz w:val="28"/>
          <w:szCs w:val="28"/>
        </w:rPr>
        <w:t>万元，比</w:t>
      </w:r>
      <w:r>
        <w:rPr>
          <w:rFonts w:hint="eastAsia" w:ascii="仿宋_GB2312" w:eastAsia="仿宋_GB2312"/>
          <w:sz w:val="28"/>
          <w:szCs w:val="28"/>
          <w:lang w:eastAsia="zh-CN"/>
        </w:rPr>
        <w:t>2025</w:t>
      </w:r>
      <w:r>
        <w:rPr>
          <w:rFonts w:hint="eastAsia" w:ascii="仿宋_GB2312" w:eastAsia="仿宋_GB2312"/>
          <w:sz w:val="28"/>
          <w:szCs w:val="28"/>
        </w:rPr>
        <w:t>年度年初预算数</w:t>
      </w:r>
      <w:r>
        <w:rPr>
          <w:rFonts w:ascii="仿宋_GB2312" w:eastAsia="仿宋_GB2312"/>
          <w:sz w:val="28"/>
          <w:szCs w:val="28"/>
        </w:rPr>
        <w:t>0</w:t>
      </w:r>
      <w:r>
        <w:rPr>
          <w:rFonts w:hint="eastAsia" w:ascii="仿宋_GB2312" w:eastAsia="仿宋_GB2312"/>
          <w:sz w:val="28"/>
          <w:szCs w:val="28"/>
        </w:rPr>
        <w:t>万元增加（减少）</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CN"/>
        </w:rPr>
        <w:t>2025</w:t>
      </w:r>
      <w:r>
        <w:rPr>
          <w:rFonts w:hint="eastAsia" w:ascii="仿宋_GB2312" w:eastAsia="仿宋_GB2312"/>
          <w:sz w:val="28"/>
          <w:szCs w:val="28"/>
        </w:rPr>
        <w:t>年度</w:t>
      </w:r>
      <w:r>
        <w:rPr>
          <w:rFonts w:hint="eastAsia" w:ascii="仿宋_GB2312" w:eastAsia="仿宋_GB2312"/>
          <w:sz w:val="28"/>
          <w:szCs w:val="28"/>
          <w:lang w:eastAsia="zh-CN"/>
        </w:rPr>
        <w:t>无</w:t>
      </w:r>
      <w:r>
        <w:rPr>
          <w:rFonts w:hint="eastAsia" w:ascii="仿宋_GB2312" w:eastAsia="仿宋_GB2312"/>
          <w:sz w:val="28"/>
          <w:szCs w:val="28"/>
        </w:rPr>
        <w:t>因公出国（境）费用，</w:t>
      </w:r>
      <w:r>
        <w:rPr>
          <w:rFonts w:hint="eastAsia" w:ascii="仿宋_GB2312" w:eastAsia="仿宋_GB2312"/>
          <w:sz w:val="28"/>
          <w:szCs w:val="28"/>
          <w:lang w:eastAsia="zh-CN"/>
        </w:rPr>
        <w:t>2025</w:t>
      </w:r>
      <w:r>
        <w:rPr>
          <w:rFonts w:hint="eastAsia" w:ascii="仿宋_GB2312" w:eastAsia="仿宋_GB2312"/>
          <w:sz w:val="28"/>
          <w:szCs w:val="28"/>
        </w:rPr>
        <w:t>年度组织因公出国（境）团组</w:t>
      </w:r>
      <w:r>
        <w:rPr>
          <w:rFonts w:hint="eastAsia" w:ascii="仿宋_GB2312" w:eastAsia="仿宋_GB2312"/>
          <w:sz w:val="28"/>
          <w:szCs w:val="28"/>
          <w:lang w:eastAsia="zh-CN"/>
        </w:rPr>
        <w:t>0</w:t>
      </w:r>
      <w:r>
        <w:rPr>
          <w:rFonts w:hint="eastAsia" w:ascii="仿宋_GB2312" w:eastAsia="仿宋_GB2312"/>
          <w:sz w:val="28"/>
          <w:szCs w:val="28"/>
        </w:rPr>
        <w:t>个、</w:t>
      </w:r>
      <w:r>
        <w:rPr>
          <w:rFonts w:hint="eastAsia" w:ascii="仿宋_GB2312" w:eastAsia="仿宋_GB2312"/>
          <w:sz w:val="28"/>
          <w:szCs w:val="28"/>
          <w:lang w:eastAsia="zh-CN"/>
        </w:rPr>
        <w:t>0</w:t>
      </w:r>
      <w:r>
        <w:rPr>
          <w:rFonts w:hint="eastAsia" w:ascii="仿宋_GB2312" w:eastAsia="仿宋_GB2312"/>
          <w:sz w:val="28"/>
          <w:szCs w:val="28"/>
        </w:rPr>
        <w:t>人次。</w:t>
      </w:r>
    </w:p>
    <w:p w14:paraId="7960794F">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w:t>
      </w:r>
      <w:r>
        <w:rPr>
          <w:rFonts w:hint="eastAsia" w:ascii="仿宋_GB2312" w:eastAsia="仿宋_GB2312"/>
          <w:sz w:val="28"/>
          <w:szCs w:val="28"/>
          <w:lang w:eastAsia="zh-CN"/>
        </w:rPr>
        <w:t>本单位无此项支出。2025</w:t>
      </w:r>
      <w:r>
        <w:rPr>
          <w:rFonts w:hint="eastAsia" w:ascii="仿宋_GB2312" w:eastAsia="仿宋_GB2312"/>
          <w:sz w:val="28"/>
          <w:szCs w:val="28"/>
        </w:rPr>
        <w:t>年度决算数</w:t>
      </w:r>
      <w:r>
        <w:rPr>
          <w:rFonts w:ascii="仿宋_GB2312" w:eastAsia="仿宋_GB2312"/>
          <w:sz w:val="28"/>
          <w:szCs w:val="28"/>
        </w:rPr>
        <w:t>0</w:t>
      </w:r>
      <w:r>
        <w:rPr>
          <w:rFonts w:hint="eastAsia" w:ascii="仿宋_GB2312" w:eastAsia="仿宋_GB2312"/>
          <w:sz w:val="28"/>
          <w:szCs w:val="28"/>
        </w:rPr>
        <w:t>万元，比</w:t>
      </w:r>
      <w:r>
        <w:rPr>
          <w:rFonts w:hint="eastAsia" w:ascii="仿宋_GB2312" w:eastAsia="仿宋_GB2312"/>
          <w:sz w:val="28"/>
          <w:szCs w:val="28"/>
          <w:lang w:eastAsia="zh-CN"/>
        </w:rPr>
        <w:t>2025</w:t>
      </w:r>
      <w:r>
        <w:rPr>
          <w:rFonts w:hint="eastAsia" w:ascii="仿宋_GB2312" w:eastAsia="仿宋_GB2312"/>
          <w:sz w:val="28"/>
          <w:szCs w:val="28"/>
        </w:rPr>
        <w:t>年度年初预算数</w:t>
      </w:r>
      <w:r>
        <w:rPr>
          <w:rFonts w:ascii="仿宋_GB2312" w:eastAsia="仿宋_GB2312"/>
          <w:sz w:val="28"/>
          <w:szCs w:val="28"/>
        </w:rPr>
        <w:t>0</w:t>
      </w:r>
      <w:r>
        <w:rPr>
          <w:rFonts w:hint="eastAsia" w:ascii="仿宋_GB2312" w:eastAsia="仿宋_GB2312"/>
          <w:sz w:val="28"/>
          <w:szCs w:val="28"/>
        </w:rPr>
        <w:t>万元增加（减少）</w:t>
      </w:r>
      <w:r>
        <w:rPr>
          <w:rFonts w:ascii="仿宋_GB2312" w:eastAsia="仿宋_GB2312"/>
          <w:sz w:val="28"/>
          <w:szCs w:val="28"/>
        </w:rPr>
        <w:t>0</w:t>
      </w:r>
      <w:r>
        <w:rPr>
          <w:rFonts w:hint="eastAsia" w:ascii="仿宋_GB2312" w:eastAsia="仿宋_GB2312"/>
          <w:sz w:val="28"/>
          <w:szCs w:val="28"/>
        </w:rPr>
        <w:t>万元。</w:t>
      </w:r>
      <w:r>
        <w:rPr>
          <w:rFonts w:hint="eastAsia" w:ascii="仿宋_GB2312" w:eastAsia="仿宋_GB2312"/>
          <w:sz w:val="28"/>
          <w:szCs w:val="28"/>
          <w:lang w:eastAsia="zh-CN"/>
        </w:rPr>
        <w:t>2025</w:t>
      </w:r>
      <w:r>
        <w:rPr>
          <w:rFonts w:hint="eastAsia" w:ascii="仿宋_GB2312" w:eastAsia="仿宋_GB2312"/>
          <w:sz w:val="28"/>
          <w:szCs w:val="28"/>
        </w:rPr>
        <w:t>年度</w:t>
      </w:r>
      <w:r>
        <w:rPr>
          <w:rFonts w:hint="eastAsia" w:ascii="仿宋_GB2312" w:eastAsia="仿宋_GB2312"/>
          <w:sz w:val="28"/>
          <w:szCs w:val="28"/>
          <w:lang w:eastAsia="zh-CN"/>
        </w:rPr>
        <w:t>无</w:t>
      </w:r>
      <w:r>
        <w:rPr>
          <w:rFonts w:hint="eastAsia" w:ascii="仿宋_GB2312" w:eastAsia="仿宋_GB2312"/>
          <w:sz w:val="28"/>
          <w:szCs w:val="28"/>
        </w:rPr>
        <w:t>公务接待费。公务接待</w:t>
      </w:r>
      <w:r>
        <w:rPr>
          <w:rFonts w:hint="eastAsia" w:ascii="仿宋_GB2312" w:eastAsia="仿宋_GB2312"/>
          <w:sz w:val="28"/>
          <w:szCs w:val="28"/>
          <w:lang w:eastAsia="zh-CN"/>
        </w:rPr>
        <w:t>0</w:t>
      </w:r>
      <w:r>
        <w:rPr>
          <w:rFonts w:hint="eastAsia" w:ascii="仿宋_GB2312" w:eastAsia="仿宋_GB2312"/>
          <w:sz w:val="28"/>
          <w:szCs w:val="28"/>
        </w:rPr>
        <w:t>批次，公务接待</w:t>
      </w:r>
      <w:r>
        <w:rPr>
          <w:rFonts w:hint="eastAsia" w:ascii="仿宋_GB2312" w:eastAsia="仿宋_GB2312"/>
          <w:sz w:val="28"/>
          <w:szCs w:val="28"/>
          <w:lang w:eastAsia="zh-CN"/>
        </w:rPr>
        <w:t>0</w:t>
      </w:r>
      <w:r>
        <w:rPr>
          <w:rFonts w:hint="eastAsia" w:ascii="仿宋_GB2312" w:eastAsia="仿宋_GB2312"/>
          <w:sz w:val="28"/>
          <w:szCs w:val="28"/>
        </w:rPr>
        <w:t>人次。</w:t>
      </w:r>
    </w:p>
    <w:p w14:paraId="2B7065A2">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w:t>
      </w:r>
      <w:r>
        <w:rPr>
          <w:rFonts w:hint="eastAsia" w:ascii="仿宋_GB2312" w:eastAsia="仿宋_GB2312"/>
          <w:sz w:val="28"/>
          <w:szCs w:val="28"/>
          <w:lang w:eastAsia="zh-CN"/>
        </w:rPr>
        <w:t>2025</w:t>
      </w:r>
      <w:r>
        <w:rPr>
          <w:rFonts w:hint="eastAsia" w:ascii="仿宋_GB2312" w:eastAsia="仿宋_GB2312"/>
          <w:sz w:val="28"/>
          <w:szCs w:val="28"/>
        </w:rPr>
        <w:t>年度决算数</w:t>
      </w:r>
      <w:r>
        <w:rPr>
          <w:rFonts w:ascii="仿宋_GB2312" w:eastAsia="仿宋_GB2312"/>
          <w:sz w:val="28"/>
          <w:szCs w:val="28"/>
        </w:rPr>
        <w:t>17.23</w:t>
      </w:r>
      <w:r>
        <w:rPr>
          <w:rFonts w:hint="eastAsia" w:ascii="仿宋_GB2312" w:eastAsia="仿宋_GB2312"/>
          <w:sz w:val="28"/>
          <w:szCs w:val="28"/>
        </w:rPr>
        <w:t>万元，比</w:t>
      </w:r>
      <w:r>
        <w:rPr>
          <w:rFonts w:hint="eastAsia" w:ascii="仿宋_GB2312" w:eastAsia="仿宋_GB2312"/>
          <w:sz w:val="28"/>
          <w:szCs w:val="28"/>
          <w:lang w:eastAsia="zh-CN"/>
        </w:rPr>
        <w:t>2025</w:t>
      </w:r>
      <w:r>
        <w:rPr>
          <w:rFonts w:hint="eastAsia" w:ascii="仿宋_GB2312" w:eastAsia="仿宋_GB2312"/>
          <w:sz w:val="28"/>
          <w:szCs w:val="28"/>
        </w:rPr>
        <w:t>年度年初预算数</w:t>
      </w:r>
      <w:r>
        <w:rPr>
          <w:rFonts w:ascii="仿宋_GB2312" w:eastAsia="仿宋_GB2312"/>
          <w:sz w:val="28"/>
          <w:szCs w:val="28"/>
        </w:rPr>
        <w:t>23.44</w:t>
      </w:r>
      <w:r>
        <w:rPr>
          <w:rFonts w:hint="eastAsia" w:ascii="仿宋_GB2312" w:eastAsia="仿宋_GB2312"/>
          <w:sz w:val="28"/>
          <w:szCs w:val="28"/>
        </w:rPr>
        <w:t>万元减少</w:t>
      </w:r>
      <w:r>
        <w:rPr>
          <w:rFonts w:ascii="仿宋_GB2312" w:eastAsia="仿宋_GB2312"/>
          <w:sz w:val="28"/>
          <w:szCs w:val="28"/>
        </w:rPr>
        <w:t>6.2</w:t>
      </w:r>
      <w:r>
        <w:rPr>
          <w:rFonts w:hint="eastAsia" w:ascii="仿宋_GB2312" w:eastAsia="仿宋_GB2312"/>
          <w:sz w:val="28"/>
          <w:szCs w:val="28"/>
        </w:rPr>
        <w:t>万元。其中，公务用车购置费</w:t>
      </w:r>
      <w:r>
        <w:rPr>
          <w:rFonts w:hint="eastAsia" w:ascii="仿宋_GB2312" w:eastAsia="仿宋_GB2312"/>
          <w:sz w:val="28"/>
          <w:szCs w:val="28"/>
          <w:lang w:eastAsia="zh-CN"/>
        </w:rPr>
        <w:t>2025</w:t>
      </w:r>
      <w:r>
        <w:rPr>
          <w:rFonts w:hint="eastAsia" w:ascii="仿宋_GB2312" w:eastAsia="仿宋_GB2312"/>
          <w:sz w:val="28"/>
          <w:szCs w:val="28"/>
        </w:rPr>
        <w:t>年度决算数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2025</w:t>
      </w:r>
      <w:r>
        <w:rPr>
          <w:rFonts w:hint="eastAsia" w:ascii="仿宋_GB2312" w:eastAsia="仿宋_GB2312"/>
          <w:sz w:val="28"/>
          <w:szCs w:val="28"/>
        </w:rPr>
        <w:t>年度购置（更新）</w:t>
      </w:r>
      <w:r>
        <w:rPr>
          <w:rFonts w:hint="eastAsia" w:ascii="仿宋_GB2312" w:eastAsia="仿宋_GB2312"/>
          <w:sz w:val="28"/>
          <w:szCs w:val="28"/>
          <w:lang w:eastAsia="zh-CN"/>
        </w:rPr>
        <w:t>0</w:t>
      </w:r>
      <w:r>
        <w:rPr>
          <w:rFonts w:hint="eastAsia" w:ascii="仿宋_GB2312" w:eastAsia="仿宋_GB2312"/>
          <w:sz w:val="28"/>
          <w:szCs w:val="28"/>
        </w:rPr>
        <w:t>辆。公务用车运行维护费</w:t>
      </w:r>
      <w:r>
        <w:rPr>
          <w:rFonts w:hint="eastAsia" w:ascii="仿宋_GB2312" w:eastAsia="仿宋_GB2312"/>
          <w:sz w:val="28"/>
          <w:szCs w:val="28"/>
          <w:lang w:eastAsia="zh-CN"/>
        </w:rPr>
        <w:t>2025</w:t>
      </w:r>
      <w:r>
        <w:rPr>
          <w:rFonts w:hint="eastAsia" w:ascii="仿宋_GB2312" w:eastAsia="仿宋_GB2312"/>
          <w:sz w:val="28"/>
          <w:szCs w:val="28"/>
        </w:rPr>
        <w:t>年度决算数</w:t>
      </w:r>
      <w:r>
        <w:rPr>
          <w:rFonts w:hint="eastAsia" w:ascii="仿宋_GB2312" w:eastAsia="仿宋_GB2312"/>
          <w:sz w:val="28"/>
          <w:szCs w:val="28"/>
          <w:lang w:val="en-US" w:eastAsia="zh-CN"/>
        </w:rPr>
        <w:t>17.23</w:t>
      </w:r>
      <w:r>
        <w:rPr>
          <w:rFonts w:hint="eastAsia" w:ascii="仿宋_GB2312" w:eastAsia="仿宋_GB2312"/>
          <w:sz w:val="28"/>
          <w:szCs w:val="28"/>
        </w:rPr>
        <w:t>万元，主要原因：公务用车加油</w:t>
      </w:r>
      <w:r>
        <w:rPr>
          <w:rFonts w:ascii="仿宋_GB2312" w:eastAsia="仿宋_GB2312"/>
          <w:sz w:val="28"/>
          <w:szCs w:val="28"/>
        </w:rPr>
        <w:t>4.5</w:t>
      </w:r>
      <w:r>
        <w:rPr>
          <w:rFonts w:hint="eastAsia" w:ascii="仿宋_GB2312" w:eastAsia="仿宋_GB2312"/>
          <w:sz w:val="28"/>
          <w:szCs w:val="28"/>
        </w:rPr>
        <w:t>万元，公务用车维修</w:t>
      </w:r>
      <w:r>
        <w:rPr>
          <w:rFonts w:ascii="仿宋_GB2312" w:eastAsia="仿宋_GB2312"/>
          <w:sz w:val="28"/>
          <w:szCs w:val="28"/>
        </w:rPr>
        <w:t>11.26</w:t>
      </w:r>
      <w:r>
        <w:rPr>
          <w:rFonts w:hint="eastAsia" w:ascii="仿宋_GB2312" w:eastAsia="仿宋_GB2312"/>
          <w:sz w:val="28"/>
          <w:szCs w:val="28"/>
        </w:rPr>
        <w:t>万元，公务用车保险</w:t>
      </w:r>
      <w:r>
        <w:rPr>
          <w:rFonts w:ascii="仿宋_GB2312" w:eastAsia="仿宋_GB2312"/>
          <w:sz w:val="28"/>
          <w:szCs w:val="28"/>
        </w:rPr>
        <w:t>1.23</w:t>
      </w:r>
      <w:r>
        <w:rPr>
          <w:rFonts w:hint="eastAsia" w:ascii="仿宋_GB2312" w:eastAsia="仿宋_GB2312"/>
          <w:sz w:val="28"/>
          <w:szCs w:val="28"/>
        </w:rPr>
        <w:t>万元，公务用车其他支出</w:t>
      </w:r>
      <w:r>
        <w:rPr>
          <w:rFonts w:ascii="仿宋_GB2312" w:eastAsia="仿宋_GB2312"/>
          <w:sz w:val="28"/>
          <w:szCs w:val="28"/>
        </w:rPr>
        <w:t>0.24</w:t>
      </w:r>
      <w:r>
        <w:rPr>
          <w:rFonts w:hint="eastAsia" w:ascii="仿宋_GB2312" w:eastAsia="仿宋_GB2312"/>
          <w:sz w:val="28"/>
          <w:szCs w:val="28"/>
        </w:rPr>
        <w:t>万元。</w:t>
      </w:r>
      <w:r>
        <w:rPr>
          <w:rFonts w:hint="eastAsia" w:ascii="仿宋_GB2312" w:eastAsia="仿宋_GB2312"/>
          <w:sz w:val="28"/>
          <w:szCs w:val="28"/>
          <w:lang w:eastAsia="zh-CN"/>
        </w:rPr>
        <w:t>2025</w:t>
      </w:r>
      <w:r>
        <w:rPr>
          <w:rFonts w:hint="eastAsia" w:ascii="仿宋_GB2312" w:eastAsia="仿宋_GB2312"/>
          <w:sz w:val="28"/>
          <w:szCs w:val="28"/>
        </w:rPr>
        <w:t>年度公务用车保有量</w:t>
      </w:r>
      <w:r>
        <w:rPr>
          <w:rFonts w:ascii="仿宋_GB2312" w:eastAsia="仿宋_GB2312"/>
          <w:sz w:val="28"/>
          <w:szCs w:val="28"/>
        </w:rPr>
        <w:t>10</w:t>
      </w:r>
      <w:r>
        <w:rPr>
          <w:rFonts w:hint="eastAsia" w:ascii="仿宋_GB2312" w:eastAsia="仿宋_GB2312"/>
          <w:sz w:val="28"/>
          <w:szCs w:val="28"/>
        </w:rPr>
        <w:t>辆。</w:t>
      </w:r>
    </w:p>
    <w:p w14:paraId="15287418">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14:paraId="76E6BB43">
      <w:pPr>
        <w:ind w:firstLine="537" w:firstLineChars="192"/>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w:t>
      </w:r>
      <w:r>
        <w:rPr>
          <w:rFonts w:hint="eastAsia" w:ascii="仿宋_GB2312" w:eastAsia="仿宋_GB2312"/>
          <w:sz w:val="28"/>
          <w:szCs w:val="28"/>
          <w:lang w:eastAsia="zh-CN"/>
        </w:rPr>
        <w:t>机关运行经费</w:t>
      </w:r>
      <w:r>
        <w:rPr>
          <w:rFonts w:hint="eastAsia" w:ascii="仿宋_GB2312" w:eastAsia="仿宋_GB2312"/>
          <w:sz w:val="28"/>
          <w:szCs w:val="28"/>
        </w:rPr>
        <w:t>支出合计</w:t>
      </w:r>
      <w:r>
        <w:rPr>
          <w:rFonts w:hint="eastAsia" w:ascii="仿宋_GB2312" w:eastAsia="仿宋_GB2312"/>
          <w:sz w:val="28"/>
          <w:szCs w:val="28"/>
          <w:lang w:val="en-US" w:eastAsia="zh-CN"/>
        </w:rPr>
        <w:t>61.22</w:t>
      </w:r>
      <w:r>
        <w:rPr>
          <w:rFonts w:hint="eastAsia" w:ascii="仿宋_GB2312" w:eastAsia="仿宋_GB2312"/>
          <w:sz w:val="28"/>
          <w:szCs w:val="28"/>
        </w:rPr>
        <w:t>万元，比上年减少</w:t>
      </w:r>
      <w:r>
        <w:rPr>
          <w:rFonts w:hint="eastAsia" w:ascii="仿宋_GB2312" w:eastAsia="仿宋_GB2312"/>
          <w:sz w:val="28"/>
          <w:szCs w:val="28"/>
          <w:lang w:val="en-US" w:eastAsia="zh-CN"/>
        </w:rPr>
        <w:t>144.82</w:t>
      </w:r>
      <w:r>
        <w:rPr>
          <w:rFonts w:hint="eastAsia" w:ascii="仿宋_GB2312" w:eastAsia="仿宋_GB2312"/>
          <w:sz w:val="28"/>
          <w:szCs w:val="28"/>
        </w:rPr>
        <w:t>万元，减少原因：公用经费结算费用减少。</w:t>
      </w:r>
    </w:p>
    <w:p w14:paraId="1DB28D97">
      <w:pPr>
        <w:ind w:left="540"/>
        <w:rPr>
          <w:rFonts w:hint="eastAsia" w:ascii="黑体" w:eastAsia="黑体"/>
          <w:sz w:val="28"/>
          <w:szCs w:val="28"/>
        </w:rPr>
      </w:pPr>
      <w:r>
        <w:rPr>
          <w:rFonts w:hint="eastAsia" w:ascii="黑体" w:eastAsia="黑体"/>
          <w:sz w:val="28"/>
          <w:szCs w:val="28"/>
        </w:rPr>
        <w:t>三、政府采购支出情况</w:t>
      </w:r>
    </w:p>
    <w:p w14:paraId="0CC9AAC1">
      <w:pPr>
        <w:ind w:firstLine="537" w:firstLineChars="192"/>
        <w:rPr>
          <w:rFonts w:hint="eastAsia" w:ascii="仿宋_GB2312" w:eastAsia="仿宋_GB2312"/>
          <w:sz w:val="28"/>
          <w:szCs w:val="28"/>
        </w:rPr>
      </w:pPr>
      <w:r>
        <w:rPr>
          <w:rFonts w:hint="eastAsia" w:ascii="仿宋_GB2312" w:eastAsia="仿宋_GB2312"/>
          <w:sz w:val="28"/>
          <w:szCs w:val="28"/>
          <w:lang w:eastAsia="zh-CN"/>
        </w:rPr>
        <w:t>2025</w:t>
      </w:r>
      <w:r>
        <w:rPr>
          <w:rFonts w:hint="eastAsia" w:ascii="仿宋_GB2312" w:eastAsia="仿宋_GB2312"/>
          <w:sz w:val="28"/>
          <w:szCs w:val="28"/>
        </w:rPr>
        <w:t>年度政府采购支出总额</w:t>
      </w:r>
      <w:r>
        <w:rPr>
          <w:rFonts w:ascii="仿宋_GB2312" w:eastAsia="仿宋_GB2312"/>
          <w:sz w:val="28"/>
          <w:szCs w:val="28"/>
        </w:rPr>
        <w:t>1464.63</w:t>
      </w:r>
      <w:r>
        <w:rPr>
          <w:rFonts w:hint="eastAsia" w:ascii="仿宋_GB2312" w:eastAsia="仿宋_GB2312"/>
          <w:sz w:val="28"/>
          <w:szCs w:val="28"/>
        </w:rPr>
        <w:t>万元，其中：政府采购货物支出</w:t>
      </w:r>
      <w:r>
        <w:rPr>
          <w:rFonts w:ascii="仿宋_GB2312" w:eastAsia="仿宋_GB2312"/>
          <w:sz w:val="28"/>
          <w:szCs w:val="28"/>
        </w:rPr>
        <w:t>4.97</w:t>
      </w:r>
      <w:r>
        <w:rPr>
          <w:rFonts w:hint="eastAsia" w:ascii="仿宋_GB2312" w:eastAsia="仿宋_GB2312"/>
          <w:sz w:val="28"/>
          <w:szCs w:val="28"/>
        </w:rPr>
        <w:t>万元，政府采购工程支出</w:t>
      </w:r>
      <w:r>
        <w:rPr>
          <w:rFonts w:ascii="仿宋_GB2312" w:eastAsia="仿宋_GB2312"/>
          <w:sz w:val="28"/>
          <w:szCs w:val="28"/>
        </w:rPr>
        <w:t>198.49</w:t>
      </w:r>
      <w:r>
        <w:rPr>
          <w:rFonts w:hint="eastAsia" w:ascii="仿宋_GB2312" w:eastAsia="仿宋_GB2312"/>
          <w:sz w:val="28"/>
          <w:szCs w:val="28"/>
        </w:rPr>
        <w:t>万元，政府采购服务支出</w:t>
      </w:r>
      <w:r>
        <w:rPr>
          <w:rFonts w:ascii="仿宋_GB2312" w:eastAsia="仿宋_GB2312"/>
          <w:sz w:val="28"/>
          <w:szCs w:val="28"/>
        </w:rPr>
        <w:t>1261.17</w:t>
      </w:r>
      <w:r>
        <w:rPr>
          <w:rFonts w:hint="eastAsia" w:ascii="仿宋_GB2312" w:eastAsia="仿宋_GB2312"/>
          <w:sz w:val="28"/>
          <w:szCs w:val="28"/>
        </w:rPr>
        <w:t>万元。授予中小企业合同金额</w:t>
      </w:r>
      <w:r>
        <w:rPr>
          <w:rFonts w:ascii="仿宋_GB2312" w:eastAsia="仿宋_GB2312"/>
          <w:sz w:val="28"/>
          <w:szCs w:val="28"/>
        </w:rPr>
        <w:t>1457.29</w:t>
      </w:r>
      <w:r>
        <w:rPr>
          <w:rFonts w:hint="eastAsia" w:ascii="仿宋_GB2312" w:eastAsia="仿宋_GB2312"/>
          <w:sz w:val="28"/>
          <w:szCs w:val="28"/>
        </w:rPr>
        <w:t>万元，占政府采购支出总额的</w:t>
      </w:r>
      <w:r>
        <w:rPr>
          <w:rFonts w:hint="eastAsia" w:ascii="仿宋_GB2312" w:eastAsia="仿宋_GB2312"/>
          <w:sz w:val="28"/>
          <w:szCs w:val="28"/>
          <w:lang w:eastAsia="zh-CN"/>
        </w:rPr>
        <w:t>99.5</w:t>
      </w:r>
      <w:r>
        <w:rPr>
          <w:rFonts w:hint="eastAsia" w:ascii="仿宋_GB2312" w:eastAsia="仿宋_GB2312"/>
          <w:sz w:val="28"/>
          <w:szCs w:val="28"/>
        </w:rPr>
        <w:t>%，其中：授予小微企业合同金额</w:t>
      </w:r>
      <w:r>
        <w:rPr>
          <w:rFonts w:ascii="仿宋_GB2312" w:eastAsia="仿宋_GB2312"/>
          <w:sz w:val="28"/>
          <w:szCs w:val="28"/>
        </w:rPr>
        <w:t>1456.91</w:t>
      </w:r>
      <w:r>
        <w:rPr>
          <w:rFonts w:hint="eastAsia" w:ascii="仿宋_GB2312" w:eastAsia="仿宋_GB2312"/>
          <w:sz w:val="28"/>
          <w:szCs w:val="28"/>
        </w:rPr>
        <w:t>万元，占政府采购支出总额的</w:t>
      </w:r>
      <w:r>
        <w:rPr>
          <w:rFonts w:ascii="仿宋_GB2312" w:eastAsia="仿宋_GB2312"/>
          <w:sz w:val="28"/>
          <w:szCs w:val="28"/>
        </w:rPr>
        <w:t>99.47</w:t>
      </w:r>
      <w:r>
        <w:rPr>
          <w:rFonts w:hint="eastAsia" w:ascii="仿宋_GB2312" w:eastAsia="仿宋_GB2312"/>
          <w:sz w:val="28"/>
          <w:szCs w:val="28"/>
        </w:rPr>
        <w:t>%。</w:t>
      </w:r>
    </w:p>
    <w:p w14:paraId="66FA136D">
      <w:pPr>
        <w:ind w:firstLine="560" w:firstLineChars="200"/>
        <w:rPr>
          <w:rFonts w:hint="eastAsia" w:ascii="黑体" w:eastAsia="黑体"/>
          <w:sz w:val="28"/>
          <w:szCs w:val="28"/>
          <w:highlight w:val="yellow"/>
        </w:rPr>
      </w:pPr>
      <w:r>
        <w:rPr>
          <w:rFonts w:hint="eastAsia" w:ascii="黑体" w:eastAsia="黑体"/>
          <w:sz w:val="28"/>
          <w:szCs w:val="28"/>
          <w:highlight w:val="none"/>
        </w:rPr>
        <w:t>四、国有资产占用情况</w:t>
      </w:r>
    </w:p>
    <w:p w14:paraId="78B87773">
      <w:pPr>
        <w:ind w:firstLine="560" w:firstLineChars="200"/>
        <w:rPr>
          <w:rFonts w:ascii="仿宋_GB2312" w:eastAsia="仿宋_GB2312"/>
          <w:sz w:val="32"/>
          <w:szCs w:val="32"/>
        </w:rPr>
      </w:pPr>
      <w:r>
        <w:rPr>
          <w:rFonts w:hint="eastAsia" w:ascii="仿宋_GB2312" w:eastAsia="仿宋_GB2312"/>
          <w:sz w:val="28"/>
          <w:szCs w:val="28"/>
          <w:lang w:eastAsia="zh-CN"/>
        </w:rPr>
        <w:t>截至</w:t>
      </w:r>
      <w:r>
        <w:rPr>
          <w:rFonts w:hint="eastAsia" w:ascii="仿宋_GB2312" w:eastAsia="仿宋_GB2312"/>
          <w:sz w:val="28"/>
          <w:szCs w:val="28"/>
          <w:lang w:val="en-US" w:eastAsia="zh-CN"/>
        </w:rPr>
        <w:t>12月31日，北京市密云区高岭镇</w:t>
      </w:r>
      <w:r>
        <w:rPr>
          <w:rFonts w:hint="eastAsia" w:ascii="仿宋_GB2312" w:eastAsia="仿宋_GB2312"/>
          <w:sz w:val="28"/>
          <w:szCs w:val="28"/>
          <w:lang w:eastAsia="zh-CN"/>
        </w:rPr>
        <w:t>共有</w:t>
      </w:r>
      <w:r>
        <w:rPr>
          <w:rFonts w:hint="eastAsia" w:ascii="仿宋_GB2312" w:eastAsia="仿宋_GB2312"/>
          <w:sz w:val="28"/>
          <w:szCs w:val="28"/>
        </w:rPr>
        <w:t>车辆</w:t>
      </w:r>
      <w:r>
        <w:rPr>
          <w:rFonts w:hint="eastAsia" w:ascii="仿宋_GB2312" w:eastAsia="仿宋_GB2312"/>
          <w:sz w:val="28"/>
          <w:szCs w:val="28"/>
          <w:lang w:val="en-US" w:eastAsia="zh-CN"/>
        </w:rPr>
        <w:t>24</w:t>
      </w:r>
      <w:r>
        <w:rPr>
          <w:rFonts w:hint="eastAsia" w:ascii="仿宋_GB2312" w:eastAsia="仿宋_GB2312"/>
          <w:sz w:val="28"/>
          <w:szCs w:val="28"/>
        </w:rPr>
        <w:t>台；单位价值100万元</w:t>
      </w:r>
      <w:r>
        <w:rPr>
          <w:rFonts w:hint="eastAsia" w:ascii="仿宋_GB2312" w:eastAsia="仿宋_GB2312"/>
          <w:sz w:val="28"/>
          <w:szCs w:val="28"/>
          <w:lang w:eastAsia="zh-CN"/>
        </w:rPr>
        <w:t>（含）</w:t>
      </w:r>
      <w:r>
        <w:rPr>
          <w:rFonts w:hint="eastAsia" w:ascii="仿宋_GB2312" w:eastAsia="仿宋_GB2312"/>
          <w:sz w:val="28"/>
          <w:szCs w:val="28"/>
        </w:rPr>
        <w:t>以上的设备</w:t>
      </w:r>
      <w:r>
        <w:rPr>
          <w:rFonts w:hint="eastAsia" w:ascii="仿宋_GB2312" w:eastAsia="仿宋_GB2312"/>
          <w:sz w:val="28"/>
          <w:szCs w:val="28"/>
          <w:lang w:val="en-US" w:eastAsia="zh-CN"/>
        </w:rPr>
        <w:t>0</w:t>
      </w:r>
      <w:r>
        <w:rPr>
          <w:rFonts w:hint="eastAsia" w:ascii="仿宋_GB2312" w:eastAsia="仿宋_GB2312"/>
          <w:sz w:val="28"/>
          <w:szCs w:val="28"/>
        </w:rPr>
        <w:t>台（套）。</w:t>
      </w:r>
    </w:p>
    <w:p w14:paraId="6EA5A8E4">
      <w:pPr>
        <w:ind w:firstLine="560" w:firstLineChars="200"/>
        <w:jc w:val="left"/>
        <w:rPr>
          <w:rFonts w:hint="eastAsia" w:ascii="仿宋_GB2312" w:eastAsia="仿宋_GB2312"/>
          <w:color w:val="000000"/>
          <w:sz w:val="32"/>
          <w:szCs w:val="32"/>
        </w:rPr>
      </w:pPr>
      <w:r>
        <w:rPr>
          <w:rFonts w:hint="eastAsia" w:ascii="黑体" w:eastAsia="黑体"/>
          <w:sz w:val="28"/>
          <w:szCs w:val="28"/>
          <w:lang w:val="en-US" w:eastAsia="zh-CN"/>
        </w:rPr>
        <w:t>五</w:t>
      </w:r>
      <w:r>
        <w:rPr>
          <w:rFonts w:hint="eastAsia" w:ascii="黑体" w:eastAsia="黑体"/>
          <w:sz w:val="28"/>
          <w:szCs w:val="28"/>
        </w:rPr>
        <w:t>、</w:t>
      </w:r>
      <w:r>
        <w:rPr>
          <w:rFonts w:ascii="黑体" w:eastAsia="黑体"/>
          <w:sz w:val="28"/>
          <w:szCs w:val="28"/>
        </w:rPr>
        <w:t>专业名词解释</w:t>
      </w:r>
    </w:p>
    <w:p w14:paraId="76C5E516">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1.基本支出：指为保障机构正常运转、完成日常工作任务而发生的人员支出和公用支出。</w:t>
      </w:r>
    </w:p>
    <w:p w14:paraId="0103E111">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2.项目支出：指在基本支出之外为完成特定行政任务或事业发展目标所发生的支出。</w:t>
      </w:r>
    </w:p>
    <w:p w14:paraId="141DE235">
      <w:pPr>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3.“三公”经费：是指单位通过财政拨款资金安排的因公出国（境）费、公务用车购置及运行费和公务接待费。</w:t>
      </w:r>
    </w:p>
    <w:p w14:paraId="0023C398">
      <w:pPr>
        <w:ind w:firstLine="560" w:firstLineChars="200"/>
        <w:rPr>
          <w:rFonts w:hint="eastAsia"/>
          <w:lang w:val="en-US" w:eastAsia="zh-CN"/>
        </w:rPr>
      </w:pPr>
      <w:r>
        <w:rPr>
          <w:rFonts w:hint="eastAsia" w:ascii="仿宋_GB2312" w:hAnsi="Times New Roman" w:eastAsia="仿宋_GB2312" w:cs="Times New Roman"/>
          <w:sz w:val="28"/>
          <w:szCs w:val="28"/>
        </w:rPr>
        <w:t>4.</w:t>
      </w:r>
      <w:r>
        <w:rPr>
          <w:rFonts w:hint="eastAsia" w:ascii="仿宋_GB2312" w:eastAsia="仿宋_GB2312" w:cs="Times New Roman"/>
          <w:sz w:val="28"/>
          <w:szCs w:val="28"/>
          <w:lang w:val="en-US" w:eastAsia="zh-CN"/>
        </w:rPr>
        <w:t>机关运行经费</w:t>
      </w:r>
      <w:r>
        <w:rPr>
          <w:rFonts w:hint="eastAsia" w:ascii="仿宋_GB2312" w:hAnsi="Times New Roman" w:eastAsia="仿宋_GB2312" w:cs="Times New Roman"/>
          <w:sz w:val="28"/>
          <w:szCs w:val="28"/>
        </w:rPr>
        <w:t>：</w:t>
      </w:r>
      <w:r>
        <w:rPr>
          <w:rFonts w:hint="eastAsia" w:ascii="仿宋_GB2312" w:eastAsia="仿宋_GB2312" w:cs="Times New Roman"/>
          <w:sz w:val="28"/>
          <w:szCs w:val="28"/>
          <w:lang w:val="en-US" w:eastAsia="zh-CN"/>
        </w:rPr>
        <w:t>反映为保障行政单位（包括参照公务员法管理的事业单位）运行用于购买货物和服务的各项资金，包括办公费、会议费、培训费、委托业务费、公务接待费、公务用车运行维护费、维修（护）费及其他费用</w:t>
      </w:r>
      <w:r>
        <w:rPr>
          <w:rFonts w:hint="eastAsia" w:ascii="仿宋_GB2312" w:hAnsi="Times New Roman" w:eastAsia="仿宋_GB2312" w:cs="Times New Roman"/>
          <w:sz w:val="28"/>
          <w:szCs w:val="28"/>
        </w:rPr>
        <w:t>。</w:t>
      </w:r>
    </w:p>
    <w:p w14:paraId="249E062D">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rPr>
        <w:t>.政府采购：指各级国家机关、事业单位和团体组织，使用财政性资金采购依法制定的集中目录以内的或者采购限额标准以上的货物、工程和服务的行为，是规范财政支出管理和强化预算约束的有效措施。</w:t>
      </w:r>
    </w:p>
    <w:p w14:paraId="5190FBF7">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eastAsia="仿宋_GB2312" w:cs="Times New Roman"/>
          <w:sz w:val="28"/>
          <w:szCs w:val="28"/>
          <w:lang w:val="en-US" w:eastAsia="zh-CN"/>
        </w:rPr>
      </w:pPr>
      <w:r>
        <w:rPr>
          <w:rFonts w:hint="eastAsia" w:ascii="仿宋_GB2312" w:eastAsia="仿宋_GB2312" w:cs="Times New Roman"/>
          <w:sz w:val="28"/>
          <w:szCs w:val="28"/>
          <w:lang w:val="en-US" w:eastAsia="zh-CN"/>
        </w:rPr>
        <w:t>6.一般公共服务支出（类）政府办公厅（室）及相关机构事务（款）行政运行（项）：反映行政单位的基本支出。</w:t>
      </w:r>
    </w:p>
    <w:p w14:paraId="2955F0CD">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eastAsia="仿宋_GB2312" w:cs="Times New Roman"/>
          <w:sz w:val="28"/>
          <w:szCs w:val="28"/>
          <w:lang w:val="en-US" w:eastAsia="zh-CN"/>
        </w:rPr>
      </w:pPr>
      <w:r>
        <w:rPr>
          <w:rFonts w:hint="eastAsia" w:ascii="仿宋_GB2312" w:eastAsia="仿宋_GB2312" w:cs="Times New Roman"/>
          <w:sz w:val="28"/>
          <w:szCs w:val="28"/>
          <w:lang w:val="en-US" w:eastAsia="zh-CN"/>
        </w:rPr>
        <w:t>7.一般公共服务支出（类）政府办公厅（室）及相关机构事务（款）事业运行（项）：反映行政单位的事业人员工资等支出。</w:t>
      </w:r>
    </w:p>
    <w:p w14:paraId="7B8225AE">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eastAsia="仿宋_GB2312" w:cs="Times New Roman"/>
          <w:sz w:val="28"/>
          <w:szCs w:val="28"/>
          <w:lang w:val="en-US" w:eastAsia="zh-CN"/>
        </w:rPr>
      </w:pPr>
    </w:p>
    <w:p w14:paraId="613F8FBC">
      <w:pPr>
        <w:jc w:val="both"/>
        <w:rPr>
          <w:rFonts w:hint="eastAsia" w:ascii="黑体" w:eastAsia="黑体"/>
          <w:sz w:val="32"/>
          <w:szCs w:val="32"/>
        </w:rPr>
      </w:pPr>
    </w:p>
    <w:p w14:paraId="418E63B1">
      <w:pPr>
        <w:tabs>
          <w:tab w:val="center" w:pos="6979"/>
        </w:tabs>
        <w:spacing w:line="380" w:lineRule="exact"/>
        <w:jc w:val="center"/>
        <w:rPr>
          <w:rFonts w:ascii="宋体" w:hAnsi="宋体" w:cs="宋体"/>
          <w:b/>
          <w:bCs/>
          <w:kern w:val="0"/>
          <w:sz w:val="28"/>
          <w:szCs w:val="28"/>
        </w:rPr>
      </w:pPr>
    </w:p>
    <w:p w14:paraId="75BAE316">
      <w:pPr>
        <w:tabs>
          <w:tab w:val="center" w:pos="6979"/>
        </w:tabs>
        <w:spacing w:line="380" w:lineRule="exact"/>
        <w:jc w:val="center"/>
        <w:rPr>
          <w:rFonts w:ascii="宋体" w:hAnsi="宋体" w:cs="宋体"/>
          <w:b/>
          <w:bCs/>
          <w:kern w:val="0"/>
          <w:sz w:val="28"/>
          <w:szCs w:val="28"/>
        </w:rPr>
      </w:pPr>
    </w:p>
    <w:p w14:paraId="21374772">
      <w:pPr>
        <w:jc w:val="both"/>
        <w:rPr>
          <w:rFonts w:hint="eastAsia" w:ascii="黑体" w:eastAsia="黑体"/>
          <w:sz w:val="32"/>
          <w:szCs w:val="32"/>
          <w:lang w:eastAsia="zh-CN"/>
        </w:rPr>
      </w:pPr>
    </w:p>
    <w:p w14:paraId="257B8587">
      <w:pPr>
        <w:pStyle w:val="2"/>
        <w:rPr>
          <w:rFonts w:hint="eastAsia" w:ascii="黑体" w:eastAsia="黑体"/>
          <w:sz w:val="32"/>
          <w:szCs w:val="32"/>
          <w:lang w:eastAsia="zh-CN"/>
        </w:rPr>
      </w:pPr>
    </w:p>
    <w:p w14:paraId="42CCCBE6">
      <w:pPr>
        <w:rPr>
          <w:rFonts w:hint="eastAsia"/>
          <w:lang w:eastAsia="zh-CN"/>
        </w:rPr>
      </w:pPr>
    </w:p>
    <w:p w14:paraId="260BDD1D">
      <w:pPr>
        <w:ind w:firstLine="640" w:firstLineChars="200"/>
        <w:jc w:val="center"/>
        <w:rPr>
          <w:rFonts w:hint="eastAsia" w:ascii="黑体" w:eastAsia="黑体"/>
          <w:sz w:val="32"/>
          <w:szCs w:val="32"/>
        </w:rPr>
      </w:pPr>
    </w:p>
    <w:p w14:paraId="47EAAAE2">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2025</w:t>
      </w:r>
      <w:r>
        <w:rPr>
          <w:rFonts w:hint="eastAsia" w:ascii="黑体" w:eastAsia="黑体"/>
          <w:sz w:val="32"/>
          <w:szCs w:val="32"/>
        </w:rPr>
        <w:t>年度部门绩效评价情况</w:t>
      </w:r>
    </w:p>
    <w:p w14:paraId="253DCCF0">
      <w:pPr>
        <w:ind w:firstLine="560" w:firstLineChars="200"/>
        <w:rPr>
          <w:rFonts w:hint="eastAsia" w:ascii="黑体" w:eastAsia="黑体"/>
          <w:sz w:val="28"/>
          <w:szCs w:val="28"/>
          <w:highlight w:val="yellow"/>
        </w:rPr>
      </w:pPr>
    </w:p>
    <w:p w14:paraId="788CC0EB">
      <w:pPr>
        <w:numPr>
          <w:ilvl w:val="0"/>
          <w:numId w:val="1"/>
        </w:numPr>
        <w:ind w:firstLine="560" w:firstLineChars="200"/>
        <w:rPr>
          <w:rFonts w:hint="eastAsia" w:ascii="黑体" w:eastAsia="黑体"/>
          <w:sz w:val="28"/>
          <w:szCs w:val="28"/>
          <w:lang w:eastAsia="zh-CN"/>
        </w:rPr>
      </w:pPr>
      <w:r>
        <w:rPr>
          <w:rFonts w:hint="eastAsia" w:ascii="黑体" w:eastAsia="黑体"/>
          <w:sz w:val="28"/>
          <w:szCs w:val="28"/>
          <w:highlight w:val="none"/>
        </w:rPr>
        <w:t>部门整体绩效评价报告</w:t>
      </w:r>
      <w:r>
        <w:rPr>
          <w:rFonts w:hint="eastAsia" w:ascii="黑体" w:eastAsia="黑体"/>
          <w:sz w:val="28"/>
          <w:szCs w:val="28"/>
        </w:rPr>
        <w:t>（参考模板详见附件）</w:t>
      </w:r>
    </w:p>
    <w:p w14:paraId="144BF21D">
      <w:pPr>
        <w:numPr>
          <w:ilvl w:val="0"/>
          <w:numId w:val="1"/>
        </w:numPr>
        <w:ind w:firstLine="560" w:firstLineChars="200"/>
        <w:rPr>
          <w:rFonts w:hint="eastAsia" w:ascii="黑体" w:eastAsia="黑体"/>
          <w:sz w:val="28"/>
          <w:szCs w:val="28"/>
          <w:lang w:eastAsia="zh-CN"/>
        </w:rPr>
      </w:pPr>
      <w:r>
        <w:rPr>
          <w:rFonts w:hint="eastAsia" w:ascii="黑体" w:eastAsia="黑体"/>
          <w:sz w:val="28"/>
          <w:szCs w:val="28"/>
        </w:rPr>
        <w:t>项目支出绩效评价报告（参考模板详见附件）</w:t>
      </w:r>
    </w:p>
    <w:p w14:paraId="0A67BFEA">
      <w:pPr>
        <w:numPr>
          <w:ilvl w:val="0"/>
          <w:numId w:val="1"/>
        </w:numPr>
        <w:ind w:firstLine="560" w:firstLineChars="200"/>
        <w:rPr>
          <w:rFonts w:hint="eastAsia" w:ascii="黑体" w:eastAsia="黑体"/>
          <w:sz w:val="28"/>
          <w:szCs w:val="28"/>
          <w:lang w:eastAsia="zh-CN"/>
        </w:rPr>
      </w:pPr>
      <w:r>
        <w:rPr>
          <w:rFonts w:hint="eastAsia" w:ascii="黑体" w:eastAsia="黑体"/>
          <w:sz w:val="28"/>
          <w:szCs w:val="28"/>
        </w:rPr>
        <w:t>项目</w:t>
      </w:r>
      <w:r>
        <w:rPr>
          <w:rFonts w:ascii="黑体" w:eastAsia="黑体"/>
          <w:sz w:val="28"/>
          <w:szCs w:val="28"/>
        </w:rPr>
        <w:t>支出绩效自评表</w:t>
      </w:r>
      <w:r>
        <w:rPr>
          <w:rFonts w:hint="eastAsia" w:ascii="黑体" w:eastAsia="黑体"/>
          <w:sz w:val="28"/>
          <w:szCs w:val="28"/>
        </w:rPr>
        <w:t>（参考模板详见附件）</w:t>
      </w:r>
    </w:p>
    <w:p w14:paraId="527959D9">
      <w:pPr>
        <w:spacing w:line="480" w:lineRule="exact"/>
        <w:ind w:firstLine="420" w:firstLineChars="0"/>
        <w:rPr>
          <w:rFonts w:hint="eastAsia" w:ascii="黑体" w:eastAsia="黑体"/>
          <w:sz w:val="28"/>
          <w:szCs w:val="28"/>
        </w:rPr>
      </w:pPr>
      <w:r>
        <w:rPr>
          <w:rFonts w:hint="eastAsia" w:ascii="黑体" w:eastAsia="黑体"/>
          <w:sz w:val="28"/>
          <w:szCs w:val="28"/>
        </w:rPr>
        <w:t xml:space="preserve"> （注：</w:t>
      </w:r>
      <w:r>
        <w:rPr>
          <w:rFonts w:hint="eastAsia" w:ascii="黑体" w:eastAsia="黑体"/>
          <w:color w:val="auto"/>
          <w:sz w:val="28"/>
          <w:szCs w:val="28"/>
        </w:rPr>
        <w:t>一级预算部门公开“一、二、三”；</w:t>
      </w:r>
      <w:r>
        <w:rPr>
          <w:rFonts w:hint="eastAsia" w:ascii="黑体" w:eastAsia="黑体"/>
          <w:sz w:val="28"/>
          <w:szCs w:val="28"/>
        </w:rPr>
        <w:t>二级预算单位仅公开“三”</w:t>
      </w:r>
      <w:r>
        <w:rPr>
          <w:rFonts w:hint="eastAsia" w:ascii="黑体" w:eastAsia="黑体"/>
          <w:sz w:val="28"/>
          <w:szCs w:val="28"/>
          <w:lang w:eastAsia="zh-CN"/>
        </w:rPr>
        <w:t>。</w:t>
      </w:r>
      <w:r>
        <w:rPr>
          <w:rFonts w:hint="eastAsia" w:ascii="黑体" w:eastAsia="黑体"/>
          <w:sz w:val="28"/>
          <w:szCs w:val="28"/>
        </w:rPr>
        <w:t>）</w:t>
      </w:r>
    </w:p>
    <w:p w14:paraId="1596C179">
      <w:pPr>
        <w:spacing w:line="480" w:lineRule="exact"/>
        <w:rPr>
          <w:rFonts w:hint="eastAsia" w:ascii="仿宋_GB2312" w:hAnsi="仿宋_GB2312" w:eastAsia="仿宋_GB2312" w:cs="仿宋_GB2312"/>
          <w:sz w:val="32"/>
          <w:szCs w:val="32"/>
        </w:rPr>
      </w:pPr>
    </w:p>
    <w:p w14:paraId="644E0BD1">
      <w:pPr>
        <w:pStyle w:val="2"/>
        <w:rPr>
          <w:rFonts w:hint="eastAsia" w:ascii="仿宋_GB2312" w:hAnsi="仿宋_GB2312" w:eastAsia="仿宋_GB2312" w:cs="仿宋_GB2312"/>
          <w:sz w:val="32"/>
          <w:szCs w:val="32"/>
        </w:rPr>
      </w:pPr>
    </w:p>
    <w:p w14:paraId="58579334">
      <w:pPr>
        <w:rPr>
          <w:rFonts w:hint="eastAsia" w:ascii="仿宋_GB2312" w:hAnsi="仿宋_GB2312" w:eastAsia="仿宋_GB2312" w:cs="仿宋_GB2312"/>
          <w:sz w:val="32"/>
          <w:szCs w:val="32"/>
        </w:rPr>
      </w:pPr>
    </w:p>
    <w:p w14:paraId="232534D4">
      <w:pPr>
        <w:pStyle w:val="2"/>
        <w:rPr>
          <w:rFonts w:hint="eastAsia" w:ascii="仿宋_GB2312" w:hAnsi="仿宋_GB2312" w:eastAsia="仿宋_GB2312" w:cs="仿宋_GB2312"/>
          <w:sz w:val="32"/>
          <w:szCs w:val="32"/>
        </w:rPr>
      </w:pPr>
    </w:p>
    <w:p w14:paraId="551E5CC4">
      <w:pPr>
        <w:rPr>
          <w:rFonts w:hint="eastAsia"/>
        </w:rPr>
      </w:pPr>
    </w:p>
    <w:p w14:paraId="161F2D0E">
      <w:pPr>
        <w:rPr>
          <w:rFonts w:hint="eastAsia" w:ascii="仿宋_GB2312" w:hAnsi="仿宋_GB2312" w:eastAsia="仿宋_GB2312" w:cs="仿宋_GB2312"/>
          <w:sz w:val="32"/>
          <w:szCs w:val="32"/>
        </w:rPr>
      </w:pPr>
    </w:p>
    <w:p w14:paraId="6CDF1930">
      <w:pPr>
        <w:spacing w:line="560" w:lineRule="exact"/>
        <w:jc w:val="left"/>
        <w:rPr>
          <w:rFonts w:hint="eastAsia" w:ascii="方正黑体_GBK" w:hAnsi="方正黑体_GBK" w:eastAsia="方正黑体_GBK" w:cs="方正黑体_GBK"/>
          <w:sz w:val="32"/>
          <w:szCs w:val="32"/>
        </w:rPr>
      </w:pPr>
    </w:p>
    <w:p w14:paraId="7646C77C">
      <w:pPr>
        <w:spacing w:line="560" w:lineRule="exac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7DA11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部门整体绩效</w:t>
      </w:r>
      <w:r>
        <w:rPr>
          <w:rFonts w:hint="eastAsia" w:ascii="方正小标宋简体" w:eastAsia="方正小标宋简体"/>
          <w:sz w:val="36"/>
          <w:szCs w:val="36"/>
          <w:highlight w:val="none"/>
          <w:lang w:eastAsia="zh-CN"/>
        </w:rPr>
        <w:t>评价</w:t>
      </w:r>
      <w:r>
        <w:rPr>
          <w:rFonts w:hint="eastAsia" w:ascii="方正小标宋简体" w:eastAsia="方正小标宋简体"/>
          <w:sz w:val="36"/>
          <w:szCs w:val="36"/>
          <w:highlight w:val="none"/>
        </w:rPr>
        <w:t>报告</w:t>
      </w:r>
    </w:p>
    <w:p w14:paraId="2DCBA3D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仿宋_GB2312"/>
          <w:szCs w:val="30"/>
          <w:highlight w:val="none"/>
        </w:rPr>
      </w:pPr>
    </w:p>
    <w:p w14:paraId="1B79B04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一、部门概况</w:t>
      </w:r>
    </w:p>
    <w:p w14:paraId="3CFC38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eastAsia="楷体_GB2312"/>
          <w:sz w:val="32"/>
          <w:szCs w:val="32"/>
          <w:highlight w:val="none"/>
        </w:rPr>
      </w:pPr>
      <w:r>
        <w:rPr>
          <w:rFonts w:hint="eastAsia" w:ascii="楷体_GB2312" w:eastAsia="楷体_GB2312"/>
          <w:sz w:val="32"/>
          <w:szCs w:val="32"/>
          <w:highlight w:val="none"/>
        </w:rPr>
        <w:t>（一）机构设置及职责工作任务情况</w:t>
      </w:r>
    </w:p>
    <w:p w14:paraId="20B907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bidi="ar-SA"/>
        </w:rPr>
      </w:pPr>
      <w:r>
        <w:rPr>
          <w:rFonts w:hint="eastAsia" w:ascii="仿宋_GB2312" w:hAnsi="宋体" w:eastAsia="仿宋_GB2312" w:cs="宋体"/>
          <w:color w:val="000000"/>
          <w:kern w:val="0"/>
          <w:sz w:val="32"/>
          <w:szCs w:val="32"/>
          <w:highlight w:val="none"/>
          <w:lang w:val="en-US" w:eastAsia="zh-CN" w:bidi="ar-SA"/>
        </w:rPr>
        <w:t>根据《北京市密云区财政局关于开展2026年绩效自评工作的通知》要求，我镇明确由主管财务副镇长专门负责此项工作，具体工作由财政科牵头，组织、协调和督促落实此项工作。并积极联系相关项目业务科室人员，安排部署预算绩效评价工作。</w:t>
      </w:r>
    </w:p>
    <w:p w14:paraId="285ED970">
      <w:pPr>
        <w:pStyle w:val="3"/>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640" w:firstLineChars="200"/>
        <w:textAlignment w:val="auto"/>
        <w:outlineLvl w:val="9"/>
        <w:rPr>
          <w:rFonts w:hint="eastAsia" w:ascii="楷体_GB2312" w:eastAsia="楷体_GB2312"/>
          <w:sz w:val="32"/>
          <w:szCs w:val="32"/>
          <w:highlight w:val="none"/>
        </w:rPr>
      </w:pPr>
      <w:r>
        <w:rPr>
          <w:rFonts w:hint="eastAsia" w:ascii="楷体_GB2312" w:eastAsia="楷体_GB2312"/>
          <w:sz w:val="32"/>
          <w:szCs w:val="32"/>
          <w:highlight w:val="none"/>
        </w:rPr>
        <w:t>部门整体绩效目标设立情况</w:t>
      </w:r>
    </w:p>
    <w:p w14:paraId="733DA4B3">
      <w:pPr>
        <w:pStyle w:val="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ascii="仿宋_GB2312" w:hAnsi="宋体" w:eastAsia="仿宋_GB2312" w:cs="宋体"/>
          <w:color w:val="000000"/>
          <w:kern w:val="0"/>
          <w:sz w:val="32"/>
          <w:szCs w:val="32"/>
          <w:highlight w:val="none"/>
          <w:lang w:val="en-US" w:eastAsia="zh-CN" w:bidi="ar-SA"/>
        </w:rPr>
      </w:pPr>
      <w:r>
        <w:rPr>
          <w:rFonts w:hint="eastAsia" w:ascii="仿宋_GB2312" w:hAnsi="宋体" w:eastAsia="仿宋_GB2312" w:cs="宋体"/>
          <w:color w:val="000000"/>
          <w:kern w:val="0"/>
          <w:sz w:val="32"/>
          <w:szCs w:val="32"/>
          <w:highlight w:val="none"/>
          <w:lang w:val="en-US" w:eastAsia="zh-CN" w:bidi="ar-SA"/>
        </w:rPr>
        <w:t>为保障我镇机关、村级正常运转，2025年度我单位支出人员经费、日常公用经费以及项目支出等。人员经费主要用于支付各类人员的工资、保险、公积金及个税等，用于维护镇村两级工作人员队伍稳定，落实三保责任；日常公用经费主要用于维持单位正常运转的水电气暖、办公费、劳务费、维修费、工会经费、福利费、公务用车维护等各项支出，用于确保机关的正常运转；项目支出主要包括环境卫生、基础设施建设、农林水等，主要目的是改善生态环境、落实保水保生态的责任，确保镇域内和谐稳定发展。</w:t>
      </w:r>
    </w:p>
    <w:p w14:paraId="301A79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二</w:t>
      </w:r>
      <w:r>
        <w:rPr>
          <w:rFonts w:ascii="黑体" w:hAnsi="黑体" w:eastAsia="黑体" w:cs="宋体"/>
          <w:color w:val="000000"/>
          <w:kern w:val="0"/>
          <w:sz w:val="32"/>
          <w:szCs w:val="32"/>
          <w:highlight w:val="none"/>
        </w:rPr>
        <w:t>、</w:t>
      </w:r>
      <w:r>
        <w:rPr>
          <w:rFonts w:hint="eastAsia" w:ascii="黑体" w:hAnsi="黑体" w:eastAsia="黑体" w:cs="宋体"/>
          <w:color w:val="000000"/>
          <w:kern w:val="0"/>
          <w:sz w:val="32"/>
          <w:szCs w:val="32"/>
          <w:highlight w:val="none"/>
        </w:rPr>
        <w:t>当年</w:t>
      </w:r>
      <w:r>
        <w:rPr>
          <w:rFonts w:ascii="黑体" w:hAnsi="黑体" w:eastAsia="黑体" w:cs="宋体"/>
          <w:color w:val="000000"/>
          <w:kern w:val="0"/>
          <w:sz w:val="32"/>
          <w:szCs w:val="32"/>
          <w:highlight w:val="none"/>
        </w:rPr>
        <w:t>预算执行情况</w:t>
      </w:r>
    </w:p>
    <w:p w14:paraId="3504E9D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hAnsi="宋体" w:eastAsia="仿宋_GB2312" w:cs="宋体"/>
          <w:color w:val="000000"/>
          <w:kern w:val="0"/>
          <w:sz w:val="32"/>
          <w:szCs w:val="32"/>
          <w:highlight w:val="red"/>
        </w:rPr>
      </w:pPr>
      <w:r>
        <w:rPr>
          <w:rFonts w:hint="eastAsia" w:ascii="仿宋_GB2312" w:hAnsi="宋体" w:eastAsia="仿宋_GB2312" w:cs="宋体"/>
          <w:color w:val="000000"/>
          <w:kern w:val="0"/>
          <w:sz w:val="32"/>
          <w:szCs w:val="32"/>
          <w:highlight w:val="none"/>
        </w:rPr>
        <w:t>202</w:t>
      </w:r>
      <w:r>
        <w:rPr>
          <w:rFonts w:hint="eastAsia" w:ascii="仿宋_GB2312" w:hAnsi="宋体" w:eastAsia="仿宋_GB2312" w:cs="宋体"/>
          <w:color w:val="000000"/>
          <w:kern w:val="0"/>
          <w:sz w:val="32"/>
          <w:szCs w:val="32"/>
          <w:highlight w:val="none"/>
          <w:lang w:val="en-US" w:eastAsia="zh-CN"/>
        </w:rPr>
        <w:t>5</w:t>
      </w:r>
      <w:r>
        <w:rPr>
          <w:rFonts w:hint="eastAsia" w:ascii="仿宋_GB2312" w:hAnsi="宋体" w:eastAsia="仿宋_GB2312" w:cs="宋体"/>
          <w:color w:val="000000"/>
          <w:kern w:val="0"/>
          <w:sz w:val="32"/>
          <w:szCs w:val="32"/>
          <w:highlight w:val="none"/>
        </w:rPr>
        <w:t>年</w:t>
      </w:r>
      <w:r>
        <w:rPr>
          <w:rFonts w:ascii="仿宋_GB2312" w:hAnsi="宋体" w:eastAsia="仿宋_GB2312" w:cs="宋体"/>
          <w:color w:val="000000"/>
          <w:kern w:val="0"/>
          <w:sz w:val="32"/>
          <w:szCs w:val="32"/>
          <w:highlight w:val="none"/>
        </w:rPr>
        <w:t>全年</w:t>
      </w:r>
      <w:r>
        <w:rPr>
          <w:rFonts w:hint="eastAsia" w:ascii="仿宋_GB2312" w:hAnsi="宋体" w:eastAsia="仿宋_GB2312" w:cs="宋体"/>
          <w:color w:val="000000"/>
          <w:kern w:val="0"/>
          <w:sz w:val="32"/>
          <w:szCs w:val="32"/>
          <w:highlight w:val="none"/>
        </w:rPr>
        <w:t>预算数</w:t>
      </w:r>
      <w:r>
        <w:rPr>
          <w:rFonts w:hint="eastAsia" w:ascii="仿宋_GB2312" w:hAnsi="宋体" w:eastAsia="仿宋_GB2312" w:cs="宋体"/>
          <w:color w:val="000000"/>
          <w:kern w:val="0"/>
          <w:sz w:val="32"/>
          <w:szCs w:val="32"/>
          <w:highlight w:val="none"/>
          <w:lang w:val="en-US" w:eastAsia="zh-CN"/>
        </w:rPr>
        <w:t>23805.54</w:t>
      </w:r>
      <w:r>
        <w:rPr>
          <w:rFonts w:hint="eastAsia" w:ascii="仿宋_GB2312" w:hAnsi="宋体" w:eastAsia="仿宋_GB2312" w:cs="宋体"/>
          <w:color w:val="000000"/>
          <w:kern w:val="0"/>
          <w:sz w:val="32"/>
          <w:szCs w:val="32"/>
          <w:highlight w:val="none"/>
        </w:rPr>
        <w:t>万元</w:t>
      </w:r>
      <w:r>
        <w:rPr>
          <w:rFonts w:ascii="仿宋_GB2312" w:hAnsi="宋体" w:eastAsia="仿宋_GB2312" w:cs="宋体"/>
          <w:color w:val="000000"/>
          <w:kern w:val="0"/>
          <w:sz w:val="32"/>
          <w:szCs w:val="32"/>
          <w:highlight w:val="none"/>
        </w:rPr>
        <w:t>，</w:t>
      </w:r>
      <w:r>
        <w:rPr>
          <w:rFonts w:hint="eastAsia" w:ascii="仿宋_GB2312" w:hAnsi="宋体" w:eastAsia="仿宋_GB2312" w:cs="宋体"/>
          <w:color w:val="000000"/>
          <w:kern w:val="0"/>
          <w:sz w:val="32"/>
          <w:szCs w:val="32"/>
          <w:highlight w:val="none"/>
        </w:rPr>
        <w:t>其中</w:t>
      </w:r>
      <w:r>
        <w:rPr>
          <w:rFonts w:ascii="仿宋_GB2312" w:hAnsi="宋体" w:eastAsia="仿宋_GB2312" w:cs="宋体"/>
          <w:color w:val="000000"/>
          <w:kern w:val="0"/>
          <w:sz w:val="32"/>
          <w:szCs w:val="32"/>
          <w:highlight w:val="none"/>
        </w:rPr>
        <w:t>，基本</w:t>
      </w:r>
      <w:r>
        <w:rPr>
          <w:rFonts w:hint="eastAsia" w:ascii="仿宋_GB2312" w:hAnsi="宋体" w:eastAsia="仿宋_GB2312" w:cs="宋体"/>
          <w:color w:val="000000"/>
          <w:kern w:val="0"/>
          <w:sz w:val="32"/>
          <w:szCs w:val="32"/>
          <w:highlight w:val="none"/>
        </w:rPr>
        <w:t>支出</w:t>
      </w:r>
      <w:r>
        <w:rPr>
          <w:rFonts w:ascii="仿宋_GB2312" w:hAnsi="宋体" w:eastAsia="仿宋_GB2312" w:cs="宋体"/>
          <w:color w:val="000000"/>
          <w:kern w:val="0"/>
          <w:sz w:val="32"/>
          <w:szCs w:val="32"/>
          <w:highlight w:val="none"/>
        </w:rPr>
        <w:t>预算数</w:t>
      </w:r>
      <w:r>
        <w:rPr>
          <w:rFonts w:hint="eastAsia" w:ascii="仿宋_GB2312" w:hAnsi="宋体" w:eastAsia="仿宋_GB2312" w:cs="宋体"/>
          <w:color w:val="000000"/>
          <w:kern w:val="0"/>
          <w:sz w:val="32"/>
          <w:szCs w:val="32"/>
          <w:highlight w:val="none"/>
          <w:lang w:val="en-US" w:eastAsia="zh-CN"/>
        </w:rPr>
        <w:t>3372.66</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项目支出预算数</w:t>
      </w:r>
      <w:r>
        <w:rPr>
          <w:rFonts w:hint="eastAsia" w:ascii="仿宋_GB2312" w:hAnsi="宋体" w:eastAsia="仿宋_GB2312" w:cs="宋体"/>
          <w:color w:val="000000"/>
          <w:kern w:val="0"/>
          <w:sz w:val="32"/>
          <w:szCs w:val="32"/>
          <w:highlight w:val="none"/>
          <w:lang w:val="en-US" w:eastAsia="zh-CN"/>
        </w:rPr>
        <w:t>20432.88</w:t>
      </w:r>
      <w:r>
        <w:rPr>
          <w:rFonts w:ascii="仿宋_GB2312" w:hAnsi="宋体" w:eastAsia="仿宋_GB2312" w:cs="宋体"/>
          <w:color w:val="000000"/>
          <w:kern w:val="0"/>
          <w:sz w:val="32"/>
          <w:szCs w:val="32"/>
          <w:highlight w:val="none"/>
        </w:rPr>
        <w:t>万元，其他支出</w:t>
      </w:r>
      <w:r>
        <w:rPr>
          <w:rFonts w:hint="eastAsia" w:ascii="仿宋_GB2312" w:hAnsi="宋体" w:eastAsia="仿宋_GB2312" w:cs="宋体"/>
          <w:color w:val="000000"/>
          <w:kern w:val="0"/>
          <w:sz w:val="32"/>
          <w:szCs w:val="32"/>
          <w:highlight w:val="none"/>
        </w:rPr>
        <w:t>预算数</w:t>
      </w:r>
      <w:r>
        <w:rPr>
          <w:rFonts w:hint="eastAsia" w:ascii="仿宋_GB2312" w:hAnsi="宋体" w:eastAsia="仿宋_GB2312" w:cs="宋体"/>
          <w:color w:val="000000"/>
          <w:kern w:val="0"/>
          <w:sz w:val="32"/>
          <w:szCs w:val="32"/>
          <w:highlight w:val="none"/>
          <w:lang w:val="en-US" w:eastAsia="zh-CN"/>
        </w:rPr>
        <w:t>0</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w:t>
      </w:r>
      <w:r>
        <w:rPr>
          <w:rFonts w:ascii="仿宋_GB2312" w:hAnsi="宋体" w:eastAsia="仿宋_GB2312" w:cs="宋体"/>
          <w:color w:val="000000"/>
          <w:kern w:val="0"/>
          <w:sz w:val="32"/>
          <w:szCs w:val="32"/>
          <w:highlight w:val="none"/>
        </w:rPr>
        <w:t>资金总体</w:t>
      </w:r>
      <w:r>
        <w:rPr>
          <w:rFonts w:hint="eastAsia" w:ascii="仿宋_GB2312" w:hAnsi="宋体" w:eastAsia="仿宋_GB2312" w:cs="宋体"/>
          <w:color w:val="000000"/>
          <w:kern w:val="0"/>
          <w:sz w:val="32"/>
          <w:szCs w:val="32"/>
          <w:highlight w:val="none"/>
        </w:rPr>
        <w:t>支出</w:t>
      </w:r>
      <w:r>
        <w:rPr>
          <w:rFonts w:hint="eastAsia" w:ascii="仿宋_GB2312" w:hAnsi="宋体" w:eastAsia="仿宋_GB2312" w:cs="宋体"/>
          <w:color w:val="000000"/>
          <w:kern w:val="0"/>
          <w:sz w:val="32"/>
          <w:szCs w:val="32"/>
          <w:highlight w:val="none"/>
          <w:lang w:val="en-US" w:eastAsia="zh-CN"/>
        </w:rPr>
        <w:t>23805.54</w:t>
      </w:r>
      <w:r>
        <w:rPr>
          <w:rFonts w:ascii="仿宋_GB2312" w:hAnsi="宋体" w:eastAsia="仿宋_GB2312" w:cs="宋体"/>
          <w:color w:val="000000"/>
          <w:kern w:val="0"/>
          <w:sz w:val="32"/>
          <w:szCs w:val="32"/>
          <w:highlight w:val="none"/>
        </w:rPr>
        <w:t>万元，其中，基本支出</w:t>
      </w:r>
      <w:r>
        <w:rPr>
          <w:rFonts w:hint="eastAsia" w:ascii="仿宋_GB2312" w:hAnsi="宋体" w:eastAsia="仿宋_GB2312" w:cs="宋体"/>
          <w:color w:val="000000"/>
          <w:kern w:val="0"/>
          <w:sz w:val="32"/>
          <w:szCs w:val="32"/>
          <w:highlight w:val="none"/>
          <w:lang w:val="en-US" w:eastAsia="zh-CN"/>
        </w:rPr>
        <w:t>3372.66</w:t>
      </w:r>
      <w:r>
        <w:rPr>
          <w:rFonts w:ascii="仿宋_GB2312" w:hAnsi="宋体" w:eastAsia="仿宋_GB2312" w:cs="宋体"/>
          <w:color w:val="000000"/>
          <w:kern w:val="0"/>
          <w:sz w:val="32"/>
          <w:szCs w:val="32"/>
          <w:highlight w:val="none"/>
        </w:rPr>
        <w:t>万元，项目</w:t>
      </w:r>
      <w:r>
        <w:rPr>
          <w:rFonts w:hint="eastAsia" w:ascii="仿宋_GB2312" w:hAnsi="宋体" w:eastAsia="仿宋_GB2312" w:cs="宋体"/>
          <w:color w:val="000000"/>
          <w:kern w:val="0"/>
          <w:sz w:val="32"/>
          <w:szCs w:val="32"/>
          <w:highlight w:val="none"/>
        </w:rPr>
        <w:t>支出</w:t>
      </w:r>
      <w:r>
        <w:rPr>
          <w:rFonts w:hint="eastAsia" w:ascii="仿宋_GB2312" w:hAnsi="宋体" w:eastAsia="仿宋_GB2312" w:cs="宋体"/>
          <w:color w:val="000000"/>
          <w:kern w:val="0"/>
          <w:sz w:val="32"/>
          <w:szCs w:val="32"/>
          <w:highlight w:val="none"/>
          <w:lang w:val="en-US" w:eastAsia="zh-CN"/>
        </w:rPr>
        <w:t>20432.88</w:t>
      </w:r>
      <w:r>
        <w:rPr>
          <w:rFonts w:ascii="仿宋_GB2312" w:hAnsi="宋体" w:eastAsia="仿宋_GB2312" w:cs="宋体"/>
          <w:color w:val="000000"/>
          <w:kern w:val="0"/>
          <w:sz w:val="32"/>
          <w:szCs w:val="32"/>
          <w:highlight w:val="none"/>
        </w:rPr>
        <w:t>万元，其他支出</w:t>
      </w:r>
      <w:r>
        <w:rPr>
          <w:rFonts w:hint="eastAsia" w:ascii="仿宋_GB2312" w:hAnsi="宋体" w:eastAsia="仿宋_GB2312" w:cs="宋体"/>
          <w:color w:val="000000"/>
          <w:kern w:val="0"/>
          <w:sz w:val="32"/>
          <w:szCs w:val="32"/>
          <w:highlight w:val="none"/>
          <w:lang w:val="en-US" w:eastAsia="zh-CN"/>
        </w:rPr>
        <w:t>0</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预算</w:t>
      </w:r>
      <w:r>
        <w:rPr>
          <w:rFonts w:ascii="仿宋_GB2312" w:hAnsi="宋体" w:eastAsia="仿宋_GB2312" w:cs="宋体"/>
          <w:color w:val="000000"/>
          <w:kern w:val="0"/>
          <w:sz w:val="32"/>
          <w:szCs w:val="32"/>
          <w:highlight w:val="none"/>
        </w:rPr>
        <w:t>执行率为</w:t>
      </w:r>
      <w:r>
        <w:rPr>
          <w:rFonts w:hint="eastAsia" w:ascii="仿宋_GB2312" w:hAnsi="宋体" w:eastAsia="仿宋_GB2312" w:cs="宋体"/>
          <w:color w:val="000000"/>
          <w:kern w:val="0"/>
          <w:sz w:val="32"/>
          <w:szCs w:val="32"/>
          <w:highlight w:val="none"/>
          <w:lang w:val="en-US" w:eastAsia="zh-CN"/>
        </w:rPr>
        <w:t>100%</w:t>
      </w:r>
      <w:r>
        <w:rPr>
          <w:rFonts w:hint="eastAsia" w:ascii="仿宋_GB2312" w:hAnsi="宋体" w:eastAsia="仿宋_GB2312" w:cs="宋体"/>
          <w:color w:val="000000"/>
          <w:kern w:val="0"/>
          <w:sz w:val="32"/>
          <w:szCs w:val="32"/>
          <w:highlight w:val="none"/>
        </w:rPr>
        <w:t>。</w:t>
      </w:r>
    </w:p>
    <w:p w14:paraId="46ECD26B">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三</w:t>
      </w:r>
      <w:r>
        <w:rPr>
          <w:rFonts w:ascii="黑体" w:hAnsi="黑体" w:eastAsia="黑体" w:cs="宋体"/>
          <w:color w:val="000000"/>
          <w:kern w:val="0"/>
          <w:sz w:val="32"/>
          <w:szCs w:val="32"/>
          <w:highlight w:val="none"/>
        </w:rPr>
        <w:t>、整体绩效目标实现情况</w:t>
      </w:r>
    </w:p>
    <w:p w14:paraId="63495579">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仿宋_GB2312" w:hAnsi="宋体" w:eastAsia="仿宋_GB2312" w:cs="宋体"/>
          <w:color w:val="000000"/>
          <w:kern w:val="0"/>
          <w:sz w:val="32"/>
          <w:szCs w:val="32"/>
          <w:highlight w:val="none"/>
        </w:rPr>
      </w:pPr>
      <w:r>
        <w:rPr>
          <w:rFonts w:hint="eastAsia" w:ascii="楷体_GB2312" w:eastAsia="楷体_GB2312"/>
          <w:sz w:val="32"/>
          <w:szCs w:val="32"/>
          <w:highlight w:val="none"/>
        </w:rPr>
        <w:t>（一）完成情况分析</w:t>
      </w:r>
      <w:r>
        <w:rPr>
          <w:rFonts w:hint="eastAsia" w:ascii="仿宋_GB2312" w:hAnsi="宋体" w:eastAsia="仿宋_GB2312" w:cs="宋体"/>
          <w:color w:val="000000"/>
          <w:kern w:val="0"/>
          <w:sz w:val="32"/>
          <w:szCs w:val="32"/>
          <w:highlight w:val="none"/>
        </w:rPr>
        <w:t xml:space="preserve"> </w:t>
      </w:r>
    </w:p>
    <w:p w14:paraId="2FB7707D">
      <w:pPr>
        <w:pageBreakBefore w:val="0"/>
        <w:widowControl w:val="0"/>
        <w:kinsoku/>
        <w:wordWrap/>
        <w:overflowPunct/>
        <w:topLinePunct w:val="0"/>
        <w:autoSpaceDE/>
        <w:autoSpaceDN/>
        <w:bidi w:val="0"/>
        <w:adjustRightInd/>
        <w:snapToGrid/>
        <w:spacing w:beforeAutospacing="0" w:afterAutospacing="0" w:line="480" w:lineRule="exact"/>
        <w:ind w:left="105" w:leftChars="50" w:firstLine="480" w:firstLineChars="15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1.产出数量</w:t>
      </w:r>
    </w:p>
    <w:p w14:paraId="31457AE3">
      <w:pPr>
        <w:pageBreakBefore w:val="0"/>
        <w:widowControl w:val="0"/>
        <w:kinsoku/>
        <w:wordWrap/>
        <w:overflowPunct/>
        <w:topLinePunct w:val="0"/>
        <w:autoSpaceDE/>
        <w:autoSpaceDN/>
        <w:bidi w:val="0"/>
        <w:adjustRightInd/>
        <w:snapToGrid/>
        <w:spacing w:beforeAutospacing="0" w:afterAutospacing="0" w:line="480" w:lineRule="exact"/>
        <w:ind w:firstLine="640" w:firstLineChars="200"/>
        <w:textAlignment w:val="auto"/>
        <w:rPr>
          <w:color w:val="auto"/>
        </w:rPr>
      </w:pPr>
      <w:r>
        <w:rPr>
          <w:rFonts w:hint="eastAsia" w:ascii="仿宋_GB2312" w:hAnsi="宋体" w:eastAsia="仿宋_GB2312" w:cs="宋体"/>
          <w:color w:val="auto"/>
          <w:kern w:val="0"/>
          <w:sz w:val="32"/>
          <w:szCs w:val="32"/>
          <w:lang w:val="en-US" w:eastAsia="zh-CN"/>
        </w:rPr>
        <w:t>全镇21个行政村各项基本民生项目工程及村级运转经费等。</w:t>
      </w:r>
    </w:p>
    <w:p w14:paraId="6AB9DDE9">
      <w:pPr>
        <w:pageBreakBefore w:val="0"/>
        <w:widowControl w:val="0"/>
        <w:kinsoku/>
        <w:wordWrap/>
        <w:overflowPunct/>
        <w:topLinePunct w:val="0"/>
        <w:autoSpaceDE/>
        <w:autoSpaceDN/>
        <w:bidi w:val="0"/>
        <w:adjustRightInd/>
        <w:snapToGrid/>
        <w:spacing w:beforeAutospacing="0" w:afterAutospacing="0" w:line="480" w:lineRule="exact"/>
        <w:ind w:left="105" w:leftChars="50" w:firstLine="480" w:firstLineChars="15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2.产出</w:t>
      </w:r>
      <w:r>
        <w:rPr>
          <w:rFonts w:ascii="仿宋_GB2312" w:hAnsi="宋体" w:eastAsia="仿宋_GB2312" w:cs="宋体"/>
          <w:color w:val="000000"/>
          <w:kern w:val="0"/>
          <w:sz w:val="32"/>
          <w:szCs w:val="32"/>
        </w:rPr>
        <w:t>质量</w:t>
      </w:r>
    </w:p>
    <w:p w14:paraId="71EE2804">
      <w:pPr>
        <w:pageBreakBefore w:val="0"/>
        <w:widowControl w:val="0"/>
        <w:kinsoku/>
        <w:wordWrap/>
        <w:overflowPunct/>
        <w:topLinePunct w:val="0"/>
        <w:autoSpaceDE/>
        <w:autoSpaceDN/>
        <w:bidi w:val="0"/>
        <w:adjustRightInd/>
        <w:snapToGrid/>
        <w:spacing w:beforeAutospacing="0" w:afterAutospacing="0" w:line="480" w:lineRule="exact"/>
        <w:ind w:firstLine="640" w:firstLineChars="200"/>
        <w:textAlignment w:val="auto"/>
        <w:rPr>
          <w:color w:val="auto"/>
        </w:rPr>
      </w:pPr>
      <w:r>
        <w:rPr>
          <w:rFonts w:hint="eastAsia" w:ascii="仿宋_GB2312" w:hAnsi="宋体" w:eastAsia="仿宋_GB2312" w:cs="宋体"/>
          <w:color w:val="auto"/>
          <w:kern w:val="0"/>
          <w:sz w:val="32"/>
          <w:szCs w:val="32"/>
          <w:lang w:val="en-US" w:eastAsia="zh-CN"/>
        </w:rPr>
        <w:t>按时支付各类人员工资、保险、公积金等人员经费；公用经费按照实际发生金额及时拨付；各项目资金根据项目建设进度以及预决（结）算评审情况进行拨付。</w:t>
      </w:r>
    </w:p>
    <w:p w14:paraId="1FE01B68">
      <w:pPr>
        <w:pageBreakBefore w:val="0"/>
        <w:widowControl w:val="0"/>
        <w:kinsoku/>
        <w:wordWrap/>
        <w:overflowPunct/>
        <w:topLinePunct w:val="0"/>
        <w:autoSpaceDE/>
        <w:autoSpaceDN/>
        <w:bidi w:val="0"/>
        <w:adjustRightInd/>
        <w:snapToGrid/>
        <w:spacing w:beforeAutospacing="0" w:afterAutospacing="0" w:line="480" w:lineRule="exact"/>
        <w:ind w:left="105" w:leftChars="50" w:firstLine="480" w:firstLineChars="15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3.产出</w:t>
      </w:r>
      <w:r>
        <w:rPr>
          <w:rFonts w:ascii="仿宋_GB2312" w:hAnsi="宋体" w:eastAsia="仿宋_GB2312" w:cs="宋体"/>
          <w:color w:val="000000"/>
          <w:kern w:val="0"/>
          <w:sz w:val="32"/>
          <w:szCs w:val="32"/>
        </w:rPr>
        <w:t>进度</w:t>
      </w:r>
    </w:p>
    <w:p w14:paraId="17E949A1">
      <w:pPr>
        <w:pageBreakBefore w:val="0"/>
        <w:widowControl w:val="0"/>
        <w:kinsoku/>
        <w:wordWrap/>
        <w:overflowPunct/>
        <w:topLinePunct w:val="0"/>
        <w:autoSpaceDE/>
        <w:autoSpaceDN/>
        <w:bidi w:val="0"/>
        <w:adjustRightInd/>
        <w:snapToGrid/>
        <w:spacing w:beforeAutospacing="0" w:afterAutospacing="0" w:line="480" w:lineRule="exact"/>
        <w:ind w:firstLine="640" w:firstLineChars="200"/>
        <w:textAlignment w:val="auto"/>
        <w:rPr>
          <w:color w:val="FF0000"/>
        </w:rPr>
      </w:pPr>
      <w:r>
        <w:rPr>
          <w:rFonts w:hint="eastAsia" w:ascii="仿宋_GB2312" w:hAnsi="宋体" w:eastAsia="仿宋_GB2312" w:cs="宋体"/>
          <w:color w:val="auto"/>
          <w:kern w:val="0"/>
          <w:sz w:val="32"/>
          <w:szCs w:val="32"/>
          <w:lang w:val="en-US" w:eastAsia="zh-CN"/>
        </w:rPr>
        <w:t>按时间进度支付各类资金。</w:t>
      </w:r>
    </w:p>
    <w:p w14:paraId="554FD629">
      <w:pPr>
        <w:pageBreakBefore w:val="0"/>
        <w:widowControl w:val="0"/>
        <w:kinsoku/>
        <w:wordWrap/>
        <w:overflowPunct/>
        <w:topLinePunct w:val="0"/>
        <w:autoSpaceDE/>
        <w:autoSpaceDN/>
        <w:bidi w:val="0"/>
        <w:adjustRightInd/>
        <w:snapToGrid/>
        <w:spacing w:beforeAutospacing="0" w:afterAutospacing="0" w:line="480" w:lineRule="exact"/>
        <w:ind w:left="105" w:leftChars="50" w:firstLine="480" w:firstLineChars="150"/>
        <w:textAlignment w:val="auto"/>
        <w:rPr>
          <w:rFonts w:hint="eastAsia" w:ascii="仿宋_GB2312" w:hAnsi="宋体" w:eastAsia="仿宋_GB2312" w:cs="宋体"/>
          <w:color w:val="000000"/>
          <w:kern w:val="0"/>
          <w:sz w:val="32"/>
          <w:szCs w:val="32"/>
        </w:rPr>
      </w:pP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产出</w:t>
      </w:r>
      <w:r>
        <w:rPr>
          <w:rFonts w:ascii="仿宋_GB2312" w:hAnsi="宋体" w:eastAsia="仿宋_GB2312" w:cs="宋体"/>
          <w:color w:val="000000"/>
          <w:kern w:val="0"/>
          <w:sz w:val="32"/>
          <w:szCs w:val="32"/>
        </w:rPr>
        <w:t>成本</w:t>
      </w:r>
      <w:r>
        <w:rPr>
          <w:rFonts w:hint="eastAsia" w:ascii="仿宋_GB2312" w:hAnsi="宋体" w:eastAsia="仿宋_GB2312" w:cs="宋体"/>
          <w:color w:val="000000"/>
          <w:kern w:val="0"/>
          <w:sz w:val="32"/>
          <w:szCs w:val="32"/>
        </w:rPr>
        <w:t xml:space="preserve">   </w:t>
      </w:r>
    </w:p>
    <w:p w14:paraId="4E8E541E">
      <w:pPr>
        <w:pStyle w:val="2"/>
        <w:pageBreakBefore w:val="0"/>
        <w:widowControl w:val="0"/>
        <w:kinsoku/>
        <w:wordWrap/>
        <w:overflowPunct/>
        <w:topLinePunct w:val="0"/>
        <w:autoSpaceDE/>
        <w:autoSpaceDN/>
        <w:bidi w:val="0"/>
        <w:adjustRightInd/>
        <w:snapToGrid/>
        <w:spacing w:beforeAutospacing="0" w:afterAutospacing="0" w:line="480" w:lineRule="exact"/>
        <w:ind w:firstLine="640" w:firstLineChars="200"/>
        <w:textAlignment w:val="auto"/>
        <w:rPr>
          <w:rFonts w:hint="eastAsia"/>
        </w:rPr>
      </w:pPr>
      <w:r>
        <w:rPr>
          <w:rFonts w:hint="eastAsia" w:ascii="仿宋_GB2312" w:hAnsi="宋体" w:eastAsia="仿宋_GB2312" w:cs="宋体"/>
          <w:b w:val="0"/>
          <w:bCs w:val="0"/>
          <w:color w:val="auto"/>
          <w:kern w:val="0"/>
          <w:sz w:val="32"/>
          <w:szCs w:val="32"/>
          <w:lang w:val="en-US" w:eastAsia="zh-CN" w:bidi="ar-SA"/>
        </w:rPr>
        <w:t>2024年我镇预算控制成本为23805.54万元。</w:t>
      </w:r>
    </w:p>
    <w:p w14:paraId="4D116197">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楷体_GB2312" w:eastAsia="楷体_GB2312"/>
          <w:sz w:val="32"/>
          <w:szCs w:val="32"/>
          <w:highlight w:val="none"/>
        </w:rPr>
      </w:pPr>
      <w:r>
        <w:rPr>
          <w:rFonts w:hint="eastAsia" w:ascii="楷体_GB2312" w:eastAsia="楷体_GB2312"/>
          <w:sz w:val="32"/>
          <w:szCs w:val="32"/>
          <w:highlight w:val="none"/>
        </w:rPr>
        <w:t>（二）</w:t>
      </w:r>
      <w:r>
        <w:rPr>
          <w:rFonts w:ascii="楷体_GB2312" w:eastAsia="楷体_GB2312"/>
          <w:sz w:val="32"/>
          <w:szCs w:val="32"/>
          <w:highlight w:val="none"/>
        </w:rPr>
        <w:t>实现情况分析</w:t>
      </w:r>
    </w:p>
    <w:p w14:paraId="38E2FAE1">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1.经济</w:t>
      </w:r>
      <w:r>
        <w:rPr>
          <w:rFonts w:ascii="仿宋_GB2312" w:hAnsi="宋体" w:eastAsia="仿宋_GB2312" w:cs="宋体"/>
          <w:color w:val="000000"/>
          <w:kern w:val="0"/>
          <w:sz w:val="32"/>
          <w:szCs w:val="32"/>
        </w:rPr>
        <w:t>效益</w:t>
      </w:r>
    </w:p>
    <w:p w14:paraId="41926167">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hint="eastAsia" w:ascii="仿宋_GB2312" w:hAnsi="宋体" w:eastAsia="仿宋_GB2312" w:cs="宋体"/>
          <w:b w:val="0"/>
          <w:bCs w:val="0"/>
          <w:color w:val="auto"/>
          <w:kern w:val="0"/>
          <w:sz w:val="32"/>
          <w:szCs w:val="32"/>
          <w:lang w:val="en-US" w:eastAsia="zh-CN" w:bidi="ar-SA"/>
        </w:rPr>
      </w:pPr>
      <w:r>
        <w:rPr>
          <w:rFonts w:hint="eastAsia" w:ascii="仿宋_GB2312" w:hAnsi="宋体" w:eastAsia="仿宋_GB2312" w:cs="宋体"/>
          <w:b w:val="0"/>
          <w:bCs w:val="0"/>
          <w:color w:val="auto"/>
          <w:kern w:val="0"/>
          <w:sz w:val="32"/>
          <w:szCs w:val="32"/>
          <w:lang w:val="en-US" w:eastAsia="zh-CN" w:bidi="ar-SA"/>
        </w:rPr>
        <w:t>各项目的实施，增强农业生产能力等，促进镇域经济健康发展。</w:t>
      </w:r>
    </w:p>
    <w:p w14:paraId="0A0ADEF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2.</w:t>
      </w:r>
      <w:r>
        <w:rPr>
          <w:rFonts w:hint="eastAsia" w:ascii="仿宋_GB2312" w:hAnsi="宋体" w:eastAsia="仿宋_GB2312" w:cs="宋体"/>
          <w:color w:val="000000"/>
          <w:kern w:val="0"/>
          <w:sz w:val="32"/>
          <w:szCs w:val="32"/>
        </w:rPr>
        <w:t>社会效益</w:t>
      </w:r>
    </w:p>
    <w:p w14:paraId="004ED6F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各项目的实施，提高村民生活保障，增加村民收入，村内各项事业稳定，推动镇域内社会事业发展。</w:t>
      </w:r>
    </w:p>
    <w:p w14:paraId="06BA415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3.环境效益</w:t>
      </w:r>
    </w:p>
    <w:p w14:paraId="06DFD4F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outlineLvl w:val="9"/>
        <w:rPr>
          <w:rFonts w:hint="eastAsia" w:ascii="仿宋_GB2312" w:hAnsi="仿宋_GB2312" w:eastAsia="仿宋_GB2312" w:cs="仿宋_GB2312"/>
          <w:color w:val="auto"/>
          <w:kern w:val="0"/>
          <w:sz w:val="28"/>
          <w:szCs w:val="28"/>
        </w:rPr>
      </w:pPr>
      <w:r>
        <w:rPr>
          <w:rFonts w:hint="eastAsia" w:ascii="仿宋_GB2312" w:hAnsi="宋体" w:eastAsia="仿宋_GB2312" w:cs="宋体"/>
          <w:color w:val="auto"/>
          <w:kern w:val="0"/>
          <w:sz w:val="32"/>
          <w:szCs w:val="32"/>
          <w:lang w:val="en-US" w:eastAsia="zh-CN"/>
        </w:rPr>
        <w:t>各项目的实施，改善各村人居环境，加强村庄整体规划，落实保水保生态的责任，提升生态宜居水平，生态环境持续优化。</w:t>
      </w:r>
    </w:p>
    <w:p w14:paraId="23EC50AA">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4.可持续</w:t>
      </w:r>
      <w:r>
        <w:rPr>
          <w:rFonts w:ascii="仿宋_GB2312" w:hAnsi="宋体" w:eastAsia="仿宋_GB2312" w:cs="宋体"/>
          <w:color w:val="auto"/>
          <w:kern w:val="0"/>
          <w:sz w:val="32"/>
          <w:szCs w:val="32"/>
        </w:rPr>
        <w:t>性影响</w:t>
      </w:r>
    </w:p>
    <w:p w14:paraId="082BB0A7">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各项目的实施，实现环境协调可持续发展，推动镇域经济健康发展。</w:t>
      </w:r>
    </w:p>
    <w:p w14:paraId="780766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服务对象</w:t>
      </w:r>
      <w:r>
        <w:rPr>
          <w:rFonts w:ascii="仿宋_GB2312" w:hAnsi="宋体" w:eastAsia="仿宋_GB2312" w:cs="宋体"/>
          <w:color w:val="000000"/>
          <w:kern w:val="0"/>
          <w:sz w:val="32"/>
          <w:szCs w:val="32"/>
        </w:rPr>
        <w:t>满意度</w:t>
      </w:r>
    </w:p>
    <w:p w14:paraId="3F286C91">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我镇202</w:t>
      </w:r>
      <w:r>
        <w:rPr>
          <w:rFonts w:hint="eastAsia" w:hAnsi="宋体" w:cs="宋体"/>
          <w:color w:val="auto"/>
          <w:kern w:val="0"/>
          <w:sz w:val="32"/>
          <w:szCs w:val="32"/>
          <w:lang w:val="en-US" w:eastAsia="zh-CN" w:bidi="ar-SA"/>
        </w:rPr>
        <w:t>5</w:t>
      </w:r>
      <w:r>
        <w:rPr>
          <w:rFonts w:hint="eastAsia" w:ascii="仿宋_GB2312" w:hAnsi="宋体" w:eastAsia="仿宋_GB2312" w:cs="宋体"/>
          <w:color w:val="auto"/>
          <w:kern w:val="0"/>
          <w:sz w:val="32"/>
          <w:szCs w:val="32"/>
          <w:lang w:val="en-US" w:eastAsia="zh-CN" w:bidi="ar-SA"/>
        </w:rPr>
        <w:t>年项目，服务对象满意度大于90%。</w:t>
      </w:r>
    </w:p>
    <w:p w14:paraId="56AC4D7C">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outlineLvl w:val="9"/>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四</w:t>
      </w:r>
      <w:r>
        <w:rPr>
          <w:rFonts w:ascii="黑体" w:hAnsi="黑体" w:eastAsia="黑体" w:cs="宋体"/>
          <w:color w:val="000000"/>
          <w:kern w:val="0"/>
          <w:sz w:val="32"/>
          <w:szCs w:val="32"/>
          <w:highlight w:val="none"/>
        </w:rPr>
        <w:t>、预算管理</w:t>
      </w:r>
      <w:r>
        <w:rPr>
          <w:rFonts w:hint="eastAsia" w:ascii="黑体" w:hAnsi="黑体" w:eastAsia="黑体" w:cs="宋体"/>
          <w:color w:val="000000"/>
          <w:kern w:val="0"/>
          <w:sz w:val="32"/>
          <w:szCs w:val="32"/>
          <w:highlight w:val="none"/>
        </w:rPr>
        <w:t>情况分</w:t>
      </w:r>
      <w:r>
        <w:rPr>
          <w:rFonts w:ascii="黑体" w:hAnsi="黑体" w:eastAsia="黑体" w:cs="宋体"/>
          <w:color w:val="000000"/>
          <w:kern w:val="0"/>
          <w:sz w:val="32"/>
          <w:szCs w:val="32"/>
          <w:highlight w:val="none"/>
        </w:rPr>
        <w:t>析</w:t>
      </w:r>
    </w:p>
    <w:p w14:paraId="0A2E795A">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楷体_GB2312" w:eastAsia="楷体_GB2312"/>
          <w:sz w:val="32"/>
          <w:szCs w:val="32"/>
          <w:highlight w:val="none"/>
        </w:rPr>
      </w:pPr>
      <w:r>
        <w:rPr>
          <w:rFonts w:hint="eastAsia" w:ascii="楷体_GB2312" w:eastAsia="楷体_GB2312"/>
          <w:sz w:val="32"/>
          <w:szCs w:val="32"/>
          <w:highlight w:val="none"/>
        </w:rPr>
        <w:t>（一）财务管理</w:t>
      </w:r>
    </w:p>
    <w:p w14:paraId="5AFD69CD">
      <w:pPr>
        <w:spacing w:line="600" w:lineRule="exact"/>
        <w:ind w:firstLine="640"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1.财务</w:t>
      </w:r>
      <w:r>
        <w:rPr>
          <w:rFonts w:ascii="仿宋_GB2312" w:hAnsi="宋体" w:eastAsia="仿宋_GB2312" w:cs="宋体"/>
          <w:color w:val="000000"/>
          <w:kern w:val="0"/>
          <w:sz w:val="32"/>
          <w:szCs w:val="32"/>
          <w:highlight w:val="none"/>
        </w:rPr>
        <w:t>管理制度健全性</w:t>
      </w:r>
    </w:p>
    <w:p w14:paraId="28AA3A94">
      <w:pPr>
        <w:spacing w:line="60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严格执行内控管理制度，及时对内控管理制度进行修订，狠抓落实，保障财政资金的安全性。</w:t>
      </w:r>
    </w:p>
    <w:p w14:paraId="64AA88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val="en-US" w:eastAsia="zh-CN"/>
        </w:rPr>
        <w:t>2.</w:t>
      </w:r>
      <w:r>
        <w:rPr>
          <w:rFonts w:hint="eastAsia" w:ascii="仿宋_GB2312" w:hAnsi="宋体" w:eastAsia="仿宋_GB2312" w:cs="宋体"/>
          <w:color w:val="000000"/>
          <w:kern w:val="0"/>
          <w:sz w:val="32"/>
          <w:szCs w:val="32"/>
          <w:highlight w:val="none"/>
        </w:rPr>
        <w:t>资金使用合规性</w:t>
      </w:r>
      <w:r>
        <w:rPr>
          <w:rFonts w:ascii="仿宋_GB2312" w:hAnsi="宋体" w:eastAsia="仿宋_GB2312" w:cs="宋体"/>
          <w:color w:val="000000"/>
          <w:kern w:val="0"/>
          <w:sz w:val="32"/>
          <w:szCs w:val="32"/>
          <w:highlight w:val="none"/>
        </w:rPr>
        <w:t>和安全性</w:t>
      </w:r>
    </w:p>
    <w:p w14:paraId="2C82F0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严格遵守国家财经法规和财务管理制度规定以及有关专项资金管理办法的规定，确保资金的拨付审批程序和手续完整。加强项目的监督管理，对符合条件的项目实行采购管理，严格项目管理流程，确保财政资金的安全。</w:t>
      </w:r>
    </w:p>
    <w:p w14:paraId="7CA7CA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val="en-US" w:eastAsia="zh-CN"/>
        </w:rPr>
        <w:t>3.</w:t>
      </w:r>
      <w:r>
        <w:rPr>
          <w:rFonts w:hint="eastAsia" w:ascii="仿宋_GB2312" w:hAnsi="宋体" w:eastAsia="仿宋_GB2312" w:cs="宋体"/>
          <w:color w:val="000000"/>
          <w:kern w:val="0"/>
          <w:sz w:val="32"/>
          <w:szCs w:val="32"/>
          <w:highlight w:val="none"/>
        </w:rPr>
        <w:t>会计</w:t>
      </w:r>
      <w:r>
        <w:rPr>
          <w:rFonts w:ascii="仿宋_GB2312" w:hAnsi="宋体" w:eastAsia="仿宋_GB2312" w:cs="宋体"/>
          <w:color w:val="000000"/>
          <w:kern w:val="0"/>
          <w:sz w:val="32"/>
          <w:szCs w:val="32"/>
          <w:highlight w:val="none"/>
        </w:rPr>
        <w:t>基础信息完善性</w:t>
      </w:r>
    </w:p>
    <w:p w14:paraId="3F11CB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auto"/>
          <w:kern w:val="0"/>
          <w:sz w:val="32"/>
          <w:szCs w:val="32"/>
          <w:lang w:val="en-US" w:eastAsia="zh-CN"/>
        </w:rPr>
        <w:t>加强会计核算管理，确保基础数据信息和会计信息资料真实、准确、完整性。</w:t>
      </w:r>
    </w:p>
    <w:p w14:paraId="66FC37EC">
      <w:pPr>
        <w:numPr>
          <w:ilvl w:val="0"/>
          <w:numId w:val="2"/>
        </w:numPr>
        <w:spacing w:line="600" w:lineRule="exact"/>
        <w:ind w:left="0" w:leftChars="0" w:firstLine="640" w:firstLineChars="200"/>
        <w:rPr>
          <w:rFonts w:hint="eastAsia" w:ascii="楷体_GB2312" w:eastAsia="楷体_GB2312"/>
          <w:sz w:val="32"/>
          <w:szCs w:val="32"/>
          <w:highlight w:val="none"/>
        </w:rPr>
      </w:pPr>
      <w:r>
        <w:rPr>
          <w:rFonts w:hint="eastAsia" w:ascii="楷体_GB2312" w:eastAsia="楷体_GB2312"/>
          <w:sz w:val="32"/>
          <w:szCs w:val="32"/>
          <w:highlight w:val="none"/>
        </w:rPr>
        <w:t>资产管理</w:t>
      </w:r>
    </w:p>
    <w:p w14:paraId="5975AD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firstLine="320" w:firstLineChars="100"/>
        <w:textAlignment w:val="auto"/>
        <w:outlineLvl w:val="9"/>
        <w:rPr>
          <w:rFonts w:ascii="楷体_GB2312" w:eastAsia="楷体_GB2312"/>
          <w:sz w:val="32"/>
          <w:szCs w:val="32"/>
          <w:highlight w:val="none"/>
        </w:rPr>
      </w:pPr>
      <w:r>
        <w:rPr>
          <w:rFonts w:hint="eastAsia" w:ascii="仿宋_GB2312" w:hAnsi="宋体" w:eastAsia="仿宋_GB2312" w:cs="宋体"/>
          <w:color w:val="auto"/>
          <w:kern w:val="0"/>
          <w:sz w:val="32"/>
          <w:szCs w:val="32"/>
          <w:lang w:val="en-US" w:eastAsia="zh-CN"/>
        </w:rPr>
        <w:t>定期对资产的使用情况进行监督检查，确保资产保持安全完整，资产配置合理，资产使用和资产处理规范。</w:t>
      </w:r>
    </w:p>
    <w:p w14:paraId="7AAA2234">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640" w:firstLineChars="200"/>
        <w:textAlignment w:val="auto"/>
        <w:outlineLvl w:val="9"/>
        <w:rPr>
          <w:rFonts w:ascii="楷体_GB2312" w:eastAsia="楷体_GB2312"/>
          <w:sz w:val="32"/>
          <w:szCs w:val="32"/>
          <w:highlight w:val="none"/>
        </w:rPr>
      </w:pPr>
      <w:r>
        <w:rPr>
          <w:rFonts w:hint="eastAsia" w:ascii="楷体_GB2312" w:eastAsia="楷体_GB2312"/>
          <w:sz w:val="32"/>
          <w:szCs w:val="32"/>
          <w:highlight w:val="none"/>
        </w:rPr>
        <w:t>绩效</w:t>
      </w:r>
      <w:r>
        <w:rPr>
          <w:rFonts w:ascii="楷体_GB2312" w:eastAsia="楷体_GB2312"/>
          <w:sz w:val="32"/>
          <w:szCs w:val="32"/>
          <w:highlight w:val="none"/>
        </w:rPr>
        <w:t>管理</w:t>
      </w:r>
    </w:p>
    <w:p w14:paraId="5850E9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outlineLvl w:val="9"/>
        <w:rPr>
          <w:rFonts w:ascii="楷体_GB2312" w:eastAsia="楷体_GB2312"/>
          <w:sz w:val="32"/>
          <w:szCs w:val="32"/>
          <w:highlight w:val="none"/>
        </w:rPr>
      </w:pPr>
      <w:r>
        <w:rPr>
          <w:rFonts w:hint="eastAsia" w:ascii="仿宋_GB2312" w:hAnsi="宋体" w:eastAsia="仿宋_GB2312" w:cs="宋体"/>
          <w:color w:val="auto"/>
          <w:kern w:val="0"/>
          <w:sz w:val="32"/>
          <w:szCs w:val="32"/>
          <w:lang w:val="en-US" w:eastAsia="zh-CN" w:bidi="ar-SA"/>
        </w:rPr>
        <w:t>及时对绩效信息进行汇总分析整理</w:t>
      </w:r>
      <w:r>
        <w:rPr>
          <w:rFonts w:hint="eastAsia" w:hAnsi="宋体" w:cs="宋体"/>
          <w:color w:val="auto"/>
          <w:kern w:val="0"/>
          <w:sz w:val="32"/>
          <w:szCs w:val="32"/>
          <w:lang w:val="en-US" w:eastAsia="zh-CN" w:bidi="ar-SA"/>
        </w:rPr>
        <w:t>，</w:t>
      </w:r>
      <w:r>
        <w:rPr>
          <w:rFonts w:hint="eastAsia" w:ascii="仿宋_GB2312" w:hAnsi="宋体" w:eastAsia="仿宋_GB2312" w:cs="宋体"/>
          <w:color w:val="auto"/>
          <w:kern w:val="0"/>
          <w:sz w:val="32"/>
          <w:szCs w:val="32"/>
          <w:lang w:val="en-US" w:eastAsia="zh-CN" w:bidi="ar-SA"/>
        </w:rPr>
        <w:t>总结经验，确保绩效工作落到实处</w:t>
      </w:r>
      <w:r>
        <w:rPr>
          <w:rFonts w:hint="eastAsia" w:hAnsi="宋体" w:cs="宋体"/>
          <w:color w:val="auto"/>
          <w:kern w:val="0"/>
          <w:sz w:val="32"/>
          <w:szCs w:val="32"/>
          <w:lang w:val="en-US" w:eastAsia="zh-CN" w:bidi="ar-SA"/>
        </w:rPr>
        <w:t>，</w:t>
      </w:r>
      <w:r>
        <w:rPr>
          <w:rFonts w:hint="eastAsia" w:ascii="仿宋_GB2312" w:hAnsi="宋体" w:eastAsia="仿宋_GB2312" w:cs="宋体"/>
          <w:color w:val="auto"/>
          <w:kern w:val="0"/>
          <w:sz w:val="32"/>
          <w:szCs w:val="32"/>
          <w:lang w:val="en-US" w:eastAsia="zh-CN" w:bidi="ar-SA"/>
        </w:rPr>
        <w:t>对绩效目标偏离情况及时进行矫正。加快资金支出进度，提高资金使用效率。</w:t>
      </w:r>
    </w:p>
    <w:p w14:paraId="6B4EDB1C">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eastAsia="楷体_GB2312"/>
          <w:sz w:val="32"/>
          <w:szCs w:val="32"/>
          <w:highlight w:val="none"/>
        </w:rPr>
      </w:pPr>
      <w:r>
        <w:rPr>
          <w:rFonts w:hint="eastAsia" w:ascii="楷体_GB2312" w:eastAsia="楷体_GB2312"/>
          <w:sz w:val="32"/>
          <w:szCs w:val="32"/>
          <w:highlight w:val="none"/>
        </w:rPr>
        <w:t>部门预决算差异率</w:t>
      </w:r>
    </w:p>
    <w:p w14:paraId="28D1B1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我单位出现预决算差异率主要原因：在预算执行过程中，区级追加专项资金。</w:t>
      </w:r>
    </w:p>
    <w:p w14:paraId="4D862B14">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ascii="黑体" w:hAnsi="黑体" w:eastAsia="黑体"/>
          <w:sz w:val="32"/>
          <w:szCs w:val="32"/>
          <w:highlight w:val="none"/>
        </w:rPr>
      </w:pPr>
      <w:r>
        <w:rPr>
          <w:rFonts w:hint="eastAsia" w:ascii="黑体" w:hAnsi="黑体" w:eastAsia="黑体"/>
          <w:sz w:val="32"/>
          <w:szCs w:val="32"/>
          <w:highlight w:val="none"/>
        </w:rPr>
        <w:t>五、总体</w:t>
      </w:r>
      <w:r>
        <w:rPr>
          <w:rFonts w:ascii="黑体" w:hAnsi="黑体" w:eastAsia="黑体"/>
          <w:sz w:val="32"/>
          <w:szCs w:val="32"/>
          <w:highlight w:val="none"/>
        </w:rPr>
        <w:t>评价结论</w:t>
      </w:r>
    </w:p>
    <w:p w14:paraId="56A466B9">
      <w:pPr>
        <w:keepNext w:val="0"/>
        <w:keepLines w:val="0"/>
        <w:pageBreakBefore w:val="0"/>
        <w:widowControl w:val="0"/>
        <w:kinsoku/>
        <w:wordWrap/>
        <w:overflowPunct/>
        <w:topLinePunct w:val="0"/>
        <w:autoSpaceDE/>
        <w:autoSpaceDN/>
        <w:bidi w:val="0"/>
        <w:adjustRightInd/>
        <w:snapToGrid/>
        <w:spacing w:line="480" w:lineRule="exact"/>
        <w:ind w:left="105" w:leftChars="50" w:firstLine="480" w:firstLineChars="150"/>
        <w:textAlignment w:val="auto"/>
        <w:rPr>
          <w:rFonts w:hint="eastAsia" w:ascii="楷体_GB2312" w:eastAsia="楷体_GB2312"/>
          <w:sz w:val="32"/>
          <w:szCs w:val="32"/>
          <w:highlight w:val="none"/>
        </w:rPr>
      </w:pPr>
      <w:r>
        <w:rPr>
          <w:rFonts w:hint="eastAsia" w:ascii="楷体_GB2312" w:eastAsia="楷体_GB2312"/>
          <w:sz w:val="32"/>
          <w:szCs w:val="32"/>
          <w:highlight w:val="none"/>
        </w:rPr>
        <w:t>（一）评价</w:t>
      </w:r>
      <w:r>
        <w:rPr>
          <w:rFonts w:ascii="楷体_GB2312" w:eastAsia="楷体_GB2312"/>
          <w:sz w:val="32"/>
          <w:szCs w:val="32"/>
          <w:highlight w:val="none"/>
        </w:rPr>
        <w:t>得分</w:t>
      </w:r>
      <w:r>
        <w:rPr>
          <w:rFonts w:hint="eastAsia" w:ascii="楷体_GB2312" w:eastAsia="楷体_GB2312"/>
          <w:sz w:val="32"/>
          <w:szCs w:val="32"/>
          <w:highlight w:val="none"/>
        </w:rPr>
        <w:t>情况</w:t>
      </w:r>
    </w:p>
    <w:p w14:paraId="1594E705">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2025年度，我镇各项目综合评分为97分，其中：预算执行情况得分为20分，整体绩效目标实现情况57分，预算管理情况20分。</w:t>
      </w:r>
    </w:p>
    <w:p w14:paraId="556982EC">
      <w:pPr>
        <w:pStyle w:val="2"/>
        <w:keepNext/>
        <w:keepLines/>
        <w:pageBreakBefore w:val="0"/>
        <w:widowControl w:val="0"/>
        <w:numPr>
          <w:ilvl w:val="0"/>
          <w:numId w:val="3"/>
        </w:numPr>
        <w:kinsoku/>
        <w:wordWrap/>
        <w:overflowPunct/>
        <w:topLinePunct w:val="0"/>
        <w:autoSpaceDE/>
        <w:autoSpaceDN/>
        <w:bidi w:val="0"/>
        <w:adjustRightInd/>
        <w:snapToGrid/>
        <w:spacing w:beforeAutospacing="0" w:afterAutospacing="0" w:line="480" w:lineRule="exact"/>
        <w:ind w:firstLine="643" w:firstLineChars="200"/>
        <w:textAlignment w:val="auto"/>
        <w:outlineLvl w:val="1"/>
        <w:rPr>
          <w:rFonts w:hint="eastAsia" w:ascii="楷体_GB2312" w:eastAsia="楷体_GB2312"/>
          <w:sz w:val="32"/>
          <w:szCs w:val="32"/>
          <w:highlight w:val="none"/>
        </w:rPr>
      </w:pPr>
      <w:r>
        <w:rPr>
          <w:rFonts w:hint="eastAsia" w:ascii="楷体_GB2312" w:eastAsia="楷体_GB2312"/>
          <w:sz w:val="32"/>
          <w:szCs w:val="32"/>
          <w:highlight w:val="none"/>
        </w:rPr>
        <w:t>存在的问题及原因分析</w:t>
      </w:r>
    </w:p>
    <w:p w14:paraId="11F1D303">
      <w:pPr>
        <w:pStyle w:val="2"/>
        <w:keepNext/>
        <w:keepLines/>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40" w:firstLineChars="200"/>
        <w:textAlignment w:val="auto"/>
        <w:outlineLvl w:val="1"/>
        <w:rPr>
          <w:rFonts w:hint="eastAsia" w:ascii="楷体_GB2312" w:eastAsia="楷体_GB2312"/>
          <w:sz w:val="32"/>
          <w:szCs w:val="32"/>
          <w:highlight w:val="none"/>
        </w:rPr>
      </w:pPr>
      <w:r>
        <w:rPr>
          <w:rFonts w:hint="eastAsia" w:ascii="仿宋_GB2312" w:hAnsi="宋体" w:eastAsia="仿宋_GB2312" w:cs="宋体"/>
          <w:b w:val="0"/>
          <w:bCs w:val="0"/>
          <w:color w:val="000000"/>
          <w:kern w:val="0"/>
          <w:sz w:val="32"/>
          <w:szCs w:val="32"/>
          <w:highlight w:val="none"/>
          <w:lang w:val="en-US" w:eastAsia="zh-CN" w:bidi="ar-SA"/>
        </w:rPr>
        <w:t>工作机制有待进一步完善，绩效评价工作缺少专业人员。</w:t>
      </w:r>
    </w:p>
    <w:p w14:paraId="02EA9D20">
      <w:pPr>
        <w:numPr>
          <w:ilvl w:val="0"/>
          <w:numId w:val="4"/>
        </w:numPr>
        <w:spacing w:line="600" w:lineRule="exact"/>
        <w:ind w:firstLine="640" w:firstLineChars="200"/>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措施建议</w:t>
      </w:r>
    </w:p>
    <w:p w14:paraId="6327C8B7">
      <w:pPr>
        <w:numPr>
          <w:ilvl w:val="0"/>
          <w:numId w:val="0"/>
        </w:numPr>
        <w:spacing w:line="600" w:lineRule="exact"/>
        <w:ind w:firstLine="640" w:firstLineChars="200"/>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1、不断学习，并健全绩效评价工作机制，加强</w:t>
      </w:r>
      <w:r>
        <w:rPr>
          <w:rFonts w:hint="eastAsia" w:ascii="仿宋_GB2312" w:hAnsi="宋体" w:eastAsia="仿宋_GB2312" w:cs="宋体"/>
          <w:color w:val="000000"/>
          <w:kern w:val="0"/>
          <w:sz w:val="32"/>
          <w:szCs w:val="32"/>
          <w:lang w:eastAsia="zh-CN"/>
        </w:rPr>
        <w:t>对镇街</w:t>
      </w:r>
      <w:r>
        <w:rPr>
          <w:rFonts w:hint="eastAsia" w:ascii="仿宋_GB2312" w:hAnsi="宋体" w:eastAsia="仿宋_GB2312" w:cs="宋体"/>
          <w:color w:val="000000"/>
          <w:kern w:val="0"/>
          <w:sz w:val="32"/>
          <w:szCs w:val="32"/>
        </w:rPr>
        <w:t>绩效评价</w:t>
      </w:r>
      <w:r>
        <w:rPr>
          <w:rFonts w:hint="eastAsia" w:ascii="仿宋_GB2312" w:hAnsi="宋体" w:eastAsia="仿宋_GB2312" w:cs="宋体"/>
          <w:color w:val="000000"/>
          <w:kern w:val="0"/>
          <w:sz w:val="32"/>
          <w:szCs w:val="32"/>
          <w:lang w:eastAsia="zh-CN"/>
        </w:rPr>
        <w:t>工作的培训力度，积极</w:t>
      </w:r>
      <w:r>
        <w:rPr>
          <w:rFonts w:hint="eastAsia" w:ascii="仿宋_GB2312" w:hAnsi="宋体" w:eastAsia="仿宋_GB2312" w:cs="宋体"/>
          <w:color w:val="000000"/>
          <w:kern w:val="0"/>
          <w:sz w:val="32"/>
          <w:szCs w:val="32"/>
        </w:rPr>
        <w:t>开展评价工作。</w:t>
      </w:r>
    </w:p>
    <w:p w14:paraId="5ED917F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rPr>
        <w:t>2、多措并举，营造“讲绩效、重绩效、用绩效”的良好氛围，广泛宣传预算绩效管理政策，扩大预算绩效管理的社会影响，进一步提高绩效管理工作。</w:t>
      </w:r>
    </w:p>
    <w:p w14:paraId="11EBA84D">
      <w:pPr>
        <w:spacing w:line="480" w:lineRule="exact"/>
        <w:ind w:firstLine="560" w:firstLineChars="200"/>
        <w:rPr>
          <w:rFonts w:hint="eastAsia" w:ascii="仿宋_GB2312" w:hAnsi="宋体" w:eastAsia="仿宋_GB2312" w:cs="宋体"/>
          <w:color w:val="000000"/>
          <w:kern w:val="0"/>
          <w:sz w:val="28"/>
          <w:szCs w:val="28"/>
        </w:rPr>
      </w:pPr>
    </w:p>
    <w:p w14:paraId="45DB4AD8">
      <w:pPr>
        <w:spacing w:line="480" w:lineRule="exact"/>
        <w:ind w:firstLine="560" w:firstLineChars="200"/>
        <w:rPr>
          <w:rFonts w:hint="eastAsia" w:ascii="仿宋_GB2312" w:hAnsi="宋体" w:eastAsia="仿宋_GB2312" w:cs="宋体"/>
          <w:color w:val="000000"/>
          <w:kern w:val="0"/>
          <w:sz w:val="28"/>
          <w:szCs w:val="28"/>
        </w:rPr>
      </w:pPr>
    </w:p>
    <w:p w14:paraId="314CFD74">
      <w:pPr>
        <w:spacing w:line="560" w:lineRule="exact"/>
        <w:ind w:firstLine="3975" w:firstLineChars="900"/>
        <w:jc w:val="both"/>
        <w:rPr>
          <w:rFonts w:cs="方正小标宋简体" w:asciiTheme="majorEastAsia" w:hAnsiTheme="majorEastAsia" w:eastAsiaTheme="majorEastAsia"/>
          <w:b/>
          <w:sz w:val="44"/>
          <w:szCs w:val="44"/>
        </w:rPr>
      </w:pPr>
      <w:r>
        <w:rPr>
          <w:rFonts w:hint="eastAsia" w:ascii="楷体_GB2312" w:hAnsi="楷体_GB2312" w:eastAsia="楷体_GB2312" w:cs="楷体_GB2312"/>
          <w:b/>
          <w:bCs/>
          <w:sz w:val="44"/>
          <w:szCs w:val="44"/>
        </w:rPr>
        <w:br w:type="page"/>
      </w:r>
      <w:r>
        <w:rPr>
          <w:rFonts w:hint="eastAsia" w:cs="方正小标宋简体" w:asciiTheme="majorEastAsia" w:hAnsiTheme="majorEastAsia" w:eastAsiaTheme="majorEastAsia"/>
          <w:b/>
          <w:sz w:val="44"/>
          <w:szCs w:val="44"/>
        </w:rPr>
        <w:t>北京市密云区高岭镇人民政府</w:t>
      </w:r>
    </w:p>
    <w:p w14:paraId="0103409B">
      <w:pPr>
        <w:spacing w:line="560" w:lineRule="exact"/>
        <w:jc w:val="center"/>
        <w:rPr>
          <w:rFonts w:cs="方正小标宋简体" w:asciiTheme="majorEastAsia" w:hAnsiTheme="majorEastAsia" w:eastAsiaTheme="majorEastAsia"/>
          <w:b/>
          <w:sz w:val="44"/>
          <w:szCs w:val="44"/>
        </w:rPr>
      </w:pPr>
      <w:r>
        <w:rPr>
          <w:rFonts w:hint="eastAsia" w:cs="方正小标宋简体" w:asciiTheme="majorEastAsia" w:hAnsiTheme="majorEastAsia" w:eastAsiaTheme="majorEastAsia"/>
          <w:b/>
          <w:sz w:val="44"/>
          <w:szCs w:val="44"/>
        </w:rPr>
        <w:t>关于</w:t>
      </w:r>
      <w:r>
        <w:rPr>
          <w:rFonts w:hint="eastAsia" w:cs="方正小标宋简体" w:asciiTheme="majorEastAsia" w:hAnsiTheme="majorEastAsia" w:eastAsiaTheme="majorEastAsia"/>
          <w:b/>
          <w:sz w:val="44"/>
          <w:szCs w:val="44"/>
          <w:lang w:eastAsia="zh-CN"/>
        </w:rPr>
        <w:t>村级会计</w:t>
      </w:r>
      <w:r>
        <w:rPr>
          <w:rFonts w:hint="eastAsia" w:cs="方正小标宋简体" w:asciiTheme="majorEastAsia" w:hAnsiTheme="majorEastAsia" w:eastAsiaTheme="majorEastAsia"/>
          <w:b/>
          <w:sz w:val="44"/>
          <w:szCs w:val="44"/>
        </w:rPr>
        <w:t>代理记账</w:t>
      </w:r>
      <w:r>
        <w:rPr>
          <w:rFonts w:hint="eastAsia" w:cs="方正小标宋简体" w:asciiTheme="majorEastAsia" w:hAnsiTheme="majorEastAsia" w:eastAsiaTheme="majorEastAsia"/>
          <w:b/>
          <w:sz w:val="44"/>
          <w:szCs w:val="44"/>
          <w:lang w:eastAsia="zh-CN"/>
        </w:rPr>
        <w:t>项目支出</w:t>
      </w:r>
      <w:r>
        <w:rPr>
          <w:rFonts w:hint="eastAsia" w:cs="方正小标宋简体" w:asciiTheme="majorEastAsia" w:hAnsiTheme="majorEastAsia" w:eastAsiaTheme="majorEastAsia"/>
          <w:b/>
          <w:sz w:val="44"/>
          <w:szCs w:val="44"/>
        </w:rPr>
        <w:t>绩效评价报告</w:t>
      </w:r>
    </w:p>
    <w:p w14:paraId="42F35E38">
      <w:pPr>
        <w:spacing w:line="560" w:lineRule="exact"/>
        <w:outlineLvl w:val="0"/>
        <w:rPr>
          <w:rFonts w:ascii="仿宋_GB2312" w:hAnsi="仿宋_GB2312" w:eastAsia="仿宋_GB2312" w:cs="仿宋_GB2312"/>
          <w:sz w:val="28"/>
          <w:szCs w:val="28"/>
        </w:rPr>
      </w:pPr>
    </w:p>
    <w:p w14:paraId="1FE2F5AE">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一、基本情况</w:t>
      </w:r>
    </w:p>
    <w:p w14:paraId="39413070">
      <w:pPr>
        <w:spacing w:line="560" w:lineRule="exact"/>
        <w:ind w:firstLine="640" w:firstLineChars="200"/>
        <w:outlineLvl w:val="0"/>
        <w:rPr>
          <w:rFonts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14:paraId="716EB2E1">
      <w:pPr>
        <w:widowControl/>
        <w:tabs>
          <w:tab w:val="left" w:pos="400"/>
        </w:tabs>
        <w:spacing w:line="560" w:lineRule="exact"/>
        <w:ind w:firstLine="643" w:firstLineChars="200"/>
        <w:rPr>
          <w:rFonts w:hint="eastAsia"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lang w:val="en-US" w:eastAsia="zh-CN"/>
        </w:rPr>
        <w:t>1.项目背景</w:t>
      </w:r>
    </w:p>
    <w:p w14:paraId="2FBADCFE">
      <w:pPr>
        <w:spacing w:line="560"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强化村级财务规范化管理，从根本上杜绝公款私存、白条抵库、违规开支、收入不入账及坐支等现象，维护群众利益，保证农村各项专项补助资金、土地补偿费、土地租金（含四荒）、确权确利资金、厂房设备出租租金的规范使用与管理，保持农村社会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结合高岭镇农村集体经济三资管理的工作要求，确立本项目。</w:t>
      </w:r>
    </w:p>
    <w:p w14:paraId="01422A15">
      <w:pPr>
        <w:widowControl/>
        <w:tabs>
          <w:tab w:val="left" w:pos="400"/>
        </w:tabs>
        <w:spacing w:line="560" w:lineRule="exact"/>
        <w:ind w:firstLine="643" w:firstLineChars="200"/>
        <w:rPr>
          <w:rFonts w:hint="eastAsia" w:ascii="仿宋_GB2312" w:hAnsi="仿宋_GB2312" w:eastAsia="仿宋_GB2312" w:cs="仿宋_GB2312"/>
          <w:b/>
          <w:kern w:val="0"/>
          <w:sz w:val="32"/>
          <w:szCs w:val="32"/>
          <w:lang w:eastAsia="zh-CN"/>
        </w:rPr>
      </w:pPr>
      <w:r>
        <w:rPr>
          <w:rFonts w:hint="eastAsia" w:ascii="仿宋_GB2312" w:hAnsi="仿宋_GB2312" w:eastAsia="仿宋_GB2312" w:cs="仿宋_GB2312"/>
          <w:b/>
          <w:kern w:val="0"/>
          <w:sz w:val="32"/>
          <w:szCs w:val="32"/>
          <w:lang w:val="en-US" w:eastAsia="zh-CN"/>
        </w:rPr>
        <w:t>2.</w:t>
      </w:r>
      <w:r>
        <w:rPr>
          <w:rFonts w:hint="eastAsia" w:ascii="仿宋_GB2312" w:hAnsi="仿宋_GB2312" w:eastAsia="仿宋_GB2312" w:cs="仿宋_GB2312"/>
          <w:b/>
          <w:kern w:val="0"/>
          <w:sz w:val="32"/>
          <w:szCs w:val="32"/>
          <w:lang w:eastAsia="zh-CN"/>
        </w:rPr>
        <w:t>主要内容</w:t>
      </w:r>
    </w:p>
    <w:p w14:paraId="050ECD08">
      <w:pPr>
        <w:numPr>
          <w:ilvl w:val="0"/>
          <w:numId w:val="0"/>
        </w:numPr>
        <w:tabs>
          <w:tab w:val="left" w:pos="0"/>
        </w:tabs>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指导各村编制年初预算，严格审核并执行财务收支预算情况。</w:t>
      </w:r>
    </w:p>
    <w:p w14:paraId="45F62EE4">
      <w:pPr>
        <w:numPr>
          <w:ilvl w:val="0"/>
          <w:numId w:val="0"/>
        </w:numPr>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做好村级资金拨付前的审核工作，对各村申请的资金是否有预算、是否有此笔款项、能否列支及票据是否合规、手续是否齐全等内容进行审核。</w:t>
      </w:r>
    </w:p>
    <w:p w14:paraId="34180C60">
      <w:pPr>
        <w:pStyle w:val="4"/>
        <w:numPr>
          <w:ilvl w:val="0"/>
          <w:numId w:val="0"/>
        </w:numPr>
        <w:spacing w:line="560" w:lineRule="exact"/>
        <w:ind w:leftChars="200"/>
        <w:rPr>
          <w:lang w:val="en-US" w:bidi="ar-SA"/>
        </w:rPr>
      </w:pPr>
      <w:r>
        <w:rPr>
          <w:rFonts w:hint="eastAsia"/>
          <w:lang w:val="en-US" w:eastAsia="zh-CN" w:bidi="ar-SA"/>
        </w:rPr>
        <w:t>（3）</w:t>
      </w:r>
      <w:r>
        <w:rPr>
          <w:rFonts w:hint="eastAsia"/>
          <w:lang w:val="en-US" w:bidi="ar-SA"/>
        </w:rPr>
        <w:t>做好村级入账票据的二次审核、录入、扫描工作。</w:t>
      </w:r>
    </w:p>
    <w:p w14:paraId="3F2D6874">
      <w:pPr>
        <w:numPr>
          <w:ilvl w:val="0"/>
          <w:numId w:val="0"/>
        </w:numPr>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据《中华人民共和国会计法》及相关政策、法规和《北京市村合作经济组织会计制度实施细则》，做好农村集体经济组织的会计核算，并实行会计电算化，确保账账相符、账证相符和账表相符，定期上报财务数据，及时准确全面地</w:t>
      </w:r>
      <w:r>
        <w:rPr>
          <w:rFonts w:hint="eastAsia" w:ascii="仿宋_GB2312" w:hAnsi="仿宋_GB2312" w:eastAsia="仿宋_GB2312" w:cs="仿宋_GB2312"/>
          <w:sz w:val="32"/>
          <w:szCs w:val="32"/>
          <w:lang w:val="en-US" w:eastAsia="zh-CN"/>
        </w:rPr>
        <w:t>反映</w:t>
      </w:r>
      <w:r>
        <w:rPr>
          <w:rFonts w:hint="eastAsia" w:ascii="仿宋_GB2312" w:hAnsi="仿宋_GB2312" w:eastAsia="仿宋_GB2312" w:cs="仿宋_GB2312"/>
          <w:sz w:val="32"/>
          <w:szCs w:val="32"/>
        </w:rPr>
        <w:t>农村集体经济组织的经济运行状况，按照农村集体经济组织民主管理的要求和财务事项审批程序，规范农村集体经济组织的财务行为，在财务监督中尽职尽责，按照村务公开的要求，编制农村集体经济组织财务公开内容，定期向农村集体经济组织成员公开。年底，根据村级账务情况编制收支决算表。</w:t>
      </w:r>
    </w:p>
    <w:p w14:paraId="6AD4E8D3">
      <w:pPr>
        <w:numPr>
          <w:ilvl w:val="0"/>
          <w:numId w:val="0"/>
        </w:numPr>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据《会计法》、《北京市代理记账管理实施办法》等有关法律法规，结合“村账托管”工作实际情况，建立健全本单位的代理人员管理制度、“村账托管”财务管理制度以及财务档案管理制度，制定规范的工作流程。</w:t>
      </w:r>
    </w:p>
    <w:p w14:paraId="11250023">
      <w:pPr>
        <w:pStyle w:val="5"/>
        <w:numPr>
          <w:ilvl w:val="0"/>
          <w:numId w:val="0"/>
        </w:numPr>
        <w:spacing w:line="560" w:lineRule="exact"/>
        <w:ind w:leftChars="200"/>
        <w:rPr>
          <w:rFonts w:ascii="仿宋_GB2312" w:hAnsi="仿宋_GB2312" w:cs="仿宋_GB2312"/>
        </w:rPr>
      </w:pPr>
      <w:r>
        <w:rPr>
          <w:rFonts w:hint="eastAsia" w:ascii="仿宋_GB2312" w:hAnsi="仿宋_GB2312" w:cs="仿宋_GB2312"/>
          <w:lang w:eastAsia="zh-CN"/>
        </w:rPr>
        <w:t>（</w:t>
      </w:r>
      <w:r>
        <w:rPr>
          <w:rFonts w:hint="eastAsia" w:ascii="仿宋_GB2312" w:hAnsi="仿宋_GB2312" w:cs="仿宋_GB2312"/>
          <w:lang w:val="en-US" w:eastAsia="zh-CN"/>
        </w:rPr>
        <w:t>6</w:t>
      </w:r>
      <w:r>
        <w:rPr>
          <w:rFonts w:hint="eastAsia" w:ascii="仿宋_GB2312" w:hAnsi="仿宋_GB2312" w:cs="仿宋_GB2312"/>
          <w:lang w:eastAsia="zh-CN"/>
        </w:rPr>
        <w:t>）</w:t>
      </w:r>
      <w:r>
        <w:rPr>
          <w:rFonts w:hint="eastAsia" w:ascii="仿宋_GB2312" w:hAnsi="仿宋_GB2312" w:cs="仿宋_GB2312"/>
        </w:rPr>
        <w:t>对各村集体经济组织财务制度的执行情况进行严格审核。</w:t>
      </w:r>
    </w:p>
    <w:p w14:paraId="3DC56C60">
      <w:pPr>
        <w:pStyle w:val="5"/>
        <w:numPr>
          <w:ilvl w:val="0"/>
          <w:numId w:val="0"/>
        </w:numPr>
        <w:spacing w:line="560" w:lineRule="exact"/>
        <w:ind w:leftChars="200"/>
        <w:rPr>
          <w:rFonts w:ascii="仿宋_GB2312" w:hAnsi="仿宋_GB2312" w:cs="仿宋_GB2312"/>
        </w:rPr>
      </w:pPr>
      <w:r>
        <w:rPr>
          <w:rFonts w:hint="eastAsia" w:ascii="仿宋_GB2312" w:hAnsi="仿宋_GB2312" w:cs="仿宋_GB2312"/>
          <w:lang w:eastAsia="zh-CN"/>
        </w:rPr>
        <w:t>（</w:t>
      </w:r>
      <w:r>
        <w:rPr>
          <w:rFonts w:hint="eastAsia" w:ascii="仿宋_GB2312" w:hAnsi="仿宋_GB2312" w:cs="仿宋_GB2312"/>
          <w:lang w:val="en-US" w:eastAsia="zh-CN"/>
        </w:rPr>
        <w:t>7</w:t>
      </w:r>
      <w:r>
        <w:rPr>
          <w:rFonts w:hint="eastAsia" w:ascii="仿宋_GB2312" w:hAnsi="仿宋_GB2312" w:cs="仿宋_GB2312"/>
          <w:lang w:eastAsia="zh-CN"/>
        </w:rPr>
        <w:t>）</w:t>
      </w:r>
      <w:r>
        <w:rPr>
          <w:rFonts w:hint="eastAsia" w:ascii="仿宋_GB2312" w:hAnsi="仿宋_GB2312" w:cs="仿宋_GB2312"/>
        </w:rPr>
        <w:t>对于不符合要求的票据中介代理机构有权向镇农经服务中心提交“拒绝受理支付、记账报告书”，并提出财务合理化管理建议书。</w:t>
      </w:r>
    </w:p>
    <w:p w14:paraId="0BC4923E">
      <w:pPr>
        <w:pStyle w:val="5"/>
        <w:numPr>
          <w:ilvl w:val="0"/>
          <w:numId w:val="0"/>
        </w:numPr>
        <w:spacing w:line="560" w:lineRule="exact"/>
        <w:ind w:leftChars="200"/>
        <w:rPr>
          <w:rFonts w:ascii="仿宋_GB2312" w:hAnsi="仿宋_GB2312" w:cs="仿宋_GB2312"/>
        </w:rPr>
      </w:pPr>
      <w:r>
        <w:rPr>
          <w:rFonts w:hint="eastAsia" w:ascii="仿宋_GB2312" w:hAnsi="仿宋_GB2312" w:cs="仿宋_GB2312"/>
          <w:lang w:eastAsia="zh-CN"/>
        </w:rPr>
        <w:t>（</w:t>
      </w:r>
      <w:r>
        <w:rPr>
          <w:rFonts w:hint="eastAsia" w:ascii="仿宋_GB2312" w:hAnsi="仿宋_GB2312" w:cs="仿宋_GB2312"/>
          <w:lang w:val="en-US" w:eastAsia="zh-CN"/>
        </w:rPr>
        <w:t>8</w:t>
      </w:r>
      <w:r>
        <w:rPr>
          <w:rFonts w:hint="eastAsia" w:ascii="仿宋_GB2312" w:hAnsi="仿宋_GB2312" w:cs="仿宋_GB2312"/>
          <w:lang w:eastAsia="zh-CN"/>
        </w:rPr>
        <w:t>）</w:t>
      </w:r>
      <w:r>
        <w:rPr>
          <w:rFonts w:hint="eastAsia" w:ascii="仿宋_GB2312" w:hAnsi="仿宋_GB2312" w:cs="仿宋_GB2312"/>
        </w:rPr>
        <w:t>新签订的经济合同应作为会计资料的原始凭证装订入档。</w:t>
      </w:r>
    </w:p>
    <w:p w14:paraId="3A43FE0C">
      <w:pPr>
        <w:pStyle w:val="5"/>
        <w:numPr>
          <w:ilvl w:val="0"/>
          <w:numId w:val="0"/>
        </w:numPr>
        <w:spacing w:line="560" w:lineRule="exact"/>
        <w:ind w:leftChars="200"/>
        <w:rPr>
          <w:rFonts w:ascii="仿宋_GB2312" w:hAnsi="仿宋_GB2312" w:cs="仿宋_GB2312"/>
        </w:rPr>
      </w:pPr>
      <w:r>
        <w:rPr>
          <w:rFonts w:hint="eastAsia" w:ascii="仿宋_GB2312" w:hAnsi="仿宋_GB2312" w:cs="仿宋_GB2312"/>
          <w:lang w:eastAsia="zh-CN"/>
        </w:rPr>
        <w:t>（</w:t>
      </w:r>
      <w:r>
        <w:rPr>
          <w:rFonts w:hint="eastAsia" w:ascii="仿宋_GB2312" w:hAnsi="仿宋_GB2312" w:cs="仿宋_GB2312"/>
          <w:lang w:val="en-US" w:eastAsia="zh-CN"/>
        </w:rPr>
        <w:t>9</w:t>
      </w:r>
      <w:r>
        <w:rPr>
          <w:rFonts w:hint="eastAsia" w:ascii="仿宋_GB2312" w:hAnsi="仿宋_GB2312" w:cs="仿宋_GB2312"/>
          <w:lang w:eastAsia="zh-CN"/>
        </w:rPr>
        <w:t>）</w:t>
      </w:r>
      <w:r>
        <w:rPr>
          <w:rFonts w:hint="eastAsia" w:ascii="仿宋_GB2312" w:hAnsi="仿宋_GB2312" w:cs="仿宋_GB2312"/>
        </w:rPr>
        <w:t>根据各村集体经济组织需求，提供可真实全面反映单位实际情况的各类财务报表。</w:t>
      </w:r>
    </w:p>
    <w:p w14:paraId="555B730F">
      <w:pPr>
        <w:numPr>
          <w:ilvl w:val="0"/>
          <w:numId w:val="0"/>
        </w:numPr>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向各村集体经济组织提供财税法规、会计实务等方面的咨询与服务。</w:t>
      </w:r>
    </w:p>
    <w:p w14:paraId="4DD972C4">
      <w:pPr>
        <w:numPr>
          <w:ilvl w:val="0"/>
          <w:numId w:val="0"/>
        </w:numPr>
        <w:spacing w:line="560" w:lineRule="exact"/>
        <w:ind w:left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履行保密义务。除国家法律、法规强制公开的信息，未经委托单位允许，不得随意向外披露“村账托管”业务中知悉的数据及信息。</w:t>
      </w:r>
    </w:p>
    <w:p w14:paraId="0B3CFDD5">
      <w:pPr>
        <w:pStyle w:val="4"/>
        <w:numPr>
          <w:ilvl w:val="0"/>
          <w:numId w:val="0"/>
        </w:numPr>
        <w:spacing w:line="560" w:lineRule="exact"/>
        <w:ind w:leftChars="200"/>
        <w:rPr>
          <w:lang w:val="en-US" w:bidi="ar-SA"/>
        </w:rPr>
      </w:pPr>
      <w:r>
        <w:rPr>
          <w:rFonts w:hint="eastAsia"/>
          <w:lang w:val="en-US" w:eastAsia="zh-CN" w:bidi="ar-SA"/>
        </w:rPr>
        <w:t>（12）</w:t>
      </w:r>
      <w:r>
        <w:rPr>
          <w:rFonts w:hint="eastAsia"/>
          <w:lang w:val="en-US" w:bidi="ar-SA"/>
        </w:rPr>
        <w:t>配合相关部门对“村账托管”业务进行责任制考核。</w:t>
      </w:r>
    </w:p>
    <w:p w14:paraId="3C49ECD6">
      <w:pPr>
        <w:pStyle w:val="4"/>
        <w:numPr>
          <w:ilvl w:val="0"/>
          <w:numId w:val="0"/>
        </w:numPr>
        <w:spacing w:line="560" w:lineRule="exact"/>
        <w:ind w:leftChars="200"/>
        <w:rPr>
          <w:lang w:val="en-US" w:bidi="ar-SA"/>
        </w:rPr>
      </w:pPr>
      <w:r>
        <w:rPr>
          <w:rFonts w:hint="eastAsia"/>
          <w:lang w:val="en-US" w:eastAsia="zh-CN" w:bidi="ar-SA"/>
        </w:rPr>
        <w:t>（13）</w:t>
      </w:r>
      <w:r>
        <w:rPr>
          <w:rFonts w:hint="eastAsia"/>
          <w:lang w:val="en-US" w:bidi="ar-SA"/>
        </w:rPr>
        <w:t>配合相关部门对“村账托管”业务进行审计。</w:t>
      </w:r>
    </w:p>
    <w:p w14:paraId="04570071">
      <w:pPr>
        <w:pStyle w:val="4"/>
        <w:numPr>
          <w:ilvl w:val="0"/>
          <w:numId w:val="0"/>
        </w:numPr>
        <w:spacing w:line="560" w:lineRule="exact"/>
        <w:ind w:leftChars="200"/>
        <w:rPr>
          <w:b/>
          <w:kern w:val="0"/>
          <w:lang w:val="en-US"/>
        </w:rPr>
      </w:pPr>
      <w:r>
        <w:rPr>
          <w:rFonts w:hint="eastAsia"/>
          <w:lang w:val="en-US" w:eastAsia="zh-CN" w:bidi="ar-SA"/>
        </w:rPr>
        <w:t>（14）</w:t>
      </w:r>
      <w:r>
        <w:rPr>
          <w:rFonts w:hint="eastAsia"/>
          <w:lang w:val="en-US" w:bidi="ar-SA"/>
        </w:rPr>
        <w:t>开展相应的代理工作，按要求做好各项服务工作。</w:t>
      </w:r>
    </w:p>
    <w:p w14:paraId="32E798AC">
      <w:pPr>
        <w:widowControl/>
        <w:tabs>
          <w:tab w:val="left" w:pos="400"/>
        </w:tabs>
        <w:spacing w:line="560" w:lineRule="exact"/>
        <w:ind w:firstLine="643" w:firstLineChars="200"/>
        <w:rPr>
          <w:rFonts w:hint="eastAsia" w:ascii="仿宋_GB2312" w:hAnsi="仿宋_GB2312" w:eastAsia="仿宋_GB2312" w:cs="仿宋_GB2312"/>
          <w:b/>
          <w:kern w:val="0"/>
          <w:sz w:val="32"/>
          <w:szCs w:val="32"/>
          <w:lang w:eastAsia="zh-CN"/>
        </w:rPr>
      </w:pPr>
      <w:r>
        <w:rPr>
          <w:rFonts w:hint="eastAsia" w:ascii="仿宋_GB2312" w:hAnsi="仿宋_GB2312" w:eastAsia="仿宋_GB2312" w:cs="仿宋_GB2312"/>
          <w:b/>
          <w:kern w:val="0"/>
          <w:sz w:val="32"/>
          <w:szCs w:val="32"/>
          <w:lang w:val="en-US" w:eastAsia="zh-CN"/>
        </w:rPr>
        <w:t>3</w:t>
      </w:r>
      <w:r>
        <w:rPr>
          <w:rFonts w:hint="eastAsia" w:ascii="仿宋_GB2312" w:hAnsi="仿宋_GB2312" w:eastAsia="仿宋_GB2312" w:cs="仿宋_GB2312"/>
          <w:b/>
          <w:kern w:val="0"/>
          <w:sz w:val="32"/>
          <w:szCs w:val="32"/>
        </w:rPr>
        <w:t>.</w:t>
      </w:r>
      <w:r>
        <w:rPr>
          <w:rFonts w:hint="eastAsia" w:ascii="仿宋_GB2312" w:hAnsi="仿宋_GB2312" w:eastAsia="仿宋_GB2312" w:cs="仿宋_GB2312"/>
          <w:b/>
          <w:kern w:val="0"/>
          <w:sz w:val="32"/>
          <w:szCs w:val="32"/>
          <w:lang w:eastAsia="zh-CN"/>
        </w:rPr>
        <w:t>考核管理</w:t>
      </w:r>
    </w:p>
    <w:p w14:paraId="73296307">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根据《高岭镇“村账托管”责任制考核办法》的规定，每半年末镇纪委、财政科、农经中心对中介代理机构本半年工作情况进行考核，财政科根据考核情况拨付代理费绩效部分；镇纪委、财政科、农经中心共同组成检查小组，不定期对村、中介代理机构的村账托管执行情况进行全面检查，对检查不合格的村、中介代理机构提出整改建议。对后续整改不到位的村将进行书面通报批评；对考核不合格的中介代理机构，视情况将相应扣减当年代理费，连续两年考核不合格，将视情节严重情况依法解除或终止与其签订委托代理合同。</w:t>
      </w:r>
    </w:p>
    <w:p w14:paraId="576A91D0">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.经费管理</w:t>
      </w:r>
    </w:p>
    <w:p w14:paraId="00A0DB3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代理记账业务的优劣作为测算代理记账费用的主要依据，相关资金由镇政府统一支付。采取“基础+考核等级实施”的付费标准。每月每村代理费</w:t>
      </w:r>
      <w:r>
        <w:rPr>
          <w:rFonts w:hint="eastAsia" w:ascii="仿宋_GB2312" w:hAnsi="仿宋_GB2312" w:eastAsia="仿宋_GB2312" w:cs="仿宋_GB2312"/>
          <w:sz w:val="32"/>
          <w:szCs w:val="32"/>
          <w:lang w:val="en-US" w:eastAsia="zh-CN"/>
        </w:rPr>
        <w:t>900</w:t>
      </w:r>
      <w:r>
        <w:rPr>
          <w:rFonts w:hint="eastAsia" w:ascii="仿宋_GB2312" w:hAnsi="仿宋_GB2312" w:eastAsia="仿宋_GB2312" w:cs="仿宋_GB2312"/>
          <w:sz w:val="32"/>
          <w:szCs w:val="32"/>
        </w:rPr>
        <w:t>元，全镇共21个村，年总代理费</w:t>
      </w:r>
      <w:r>
        <w:rPr>
          <w:rFonts w:hint="eastAsia" w:ascii="仿宋_GB2312" w:hAnsi="仿宋_GB2312" w:eastAsia="仿宋_GB2312" w:cs="仿宋_GB2312"/>
          <w:sz w:val="32"/>
          <w:szCs w:val="32"/>
          <w:lang w:val="en-US" w:eastAsia="zh-CN"/>
        </w:rPr>
        <w:t>22680</w:t>
      </w:r>
      <w:r>
        <w:rPr>
          <w:rFonts w:hint="eastAsia" w:ascii="仿宋_GB2312" w:hAnsi="仿宋_GB2312" w:eastAsia="仿宋_GB2312" w:cs="仿宋_GB2312"/>
          <w:sz w:val="32"/>
          <w:szCs w:val="32"/>
        </w:rPr>
        <w:t>0元。</w:t>
      </w:r>
    </w:p>
    <w:p w14:paraId="28F842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（二）项目绩效目标</w:t>
      </w:r>
    </w:p>
    <w:p w14:paraId="0FE6060A">
      <w:pPr>
        <w:pStyle w:val="10"/>
        <w:widowControl/>
        <w:wordWrap w:val="0"/>
        <w:spacing w:beforeAutospacing="0" w:afterAutospacing="0" w:line="560" w:lineRule="exact"/>
        <w:ind w:firstLine="645"/>
        <w:rPr>
          <w:rFonts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rPr>
        <w:t>项目总体目标：为加强村级财务管理，规范村财务收支行为，提高村级财务会计核算质量，提升财务管理水平。</w:t>
      </w:r>
    </w:p>
    <w:p w14:paraId="7F7F23E3">
      <w:pPr>
        <w:pStyle w:val="10"/>
        <w:widowControl/>
        <w:wordWrap w:val="0"/>
        <w:spacing w:beforeAutospacing="0" w:afterAutospacing="0"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b w:val="0"/>
          <w:bCs/>
          <w:kern w:val="2"/>
          <w:sz w:val="32"/>
          <w:szCs w:val="32"/>
        </w:rPr>
        <w:t>阶段性目标：实现村级财务管理科学化、规范化、制度化。</w:t>
      </w:r>
    </w:p>
    <w:p w14:paraId="791A474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二、绩效评价工作开展情况</w:t>
      </w:r>
    </w:p>
    <w:p w14:paraId="7A2861C6">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（一）绩效评价目的、对象和范围</w:t>
      </w:r>
    </w:p>
    <w:p w14:paraId="1E2DD08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了保证我镇村账托管工作的顺利开展，加强对各村集体经济组织、中介代理机构的监督。根据《中华人民共和国会计法》、《北京市村级合作经济组织会计制度实施细则》和其他相关法律法规的规定，制定《高岭镇“村账托管”责任制考核办法》。明确了考核方法和考核内容，并定期进行考核评价。</w:t>
      </w:r>
    </w:p>
    <w:p w14:paraId="155CC486">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1.考核对象：</w:t>
      </w:r>
    </w:p>
    <w:p w14:paraId="5AB51890">
      <w:pPr>
        <w:pStyle w:val="4"/>
        <w:spacing w:line="560" w:lineRule="exact"/>
        <w:ind w:left="0" w:firstLine="640" w:firstLineChars="200"/>
        <w:rPr>
          <w:lang w:val="en-US"/>
        </w:rPr>
      </w:pPr>
      <w:r>
        <w:rPr>
          <w:rFonts w:hint="eastAsia"/>
          <w:lang w:val="en-US"/>
        </w:rPr>
        <w:t>“村账托管”的中介代理机构。</w:t>
      </w:r>
    </w:p>
    <w:p w14:paraId="63E9EAD7">
      <w:pPr>
        <w:widowControl/>
        <w:tabs>
          <w:tab w:val="left" w:pos="400"/>
        </w:tabs>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2.考核范围：</w:t>
      </w:r>
    </w:p>
    <w:p w14:paraId="03A8EDF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（1）对中介代理机构的日常考核包括代理记账及监督管理两个方面。</w:t>
      </w:r>
    </w:p>
    <w:p w14:paraId="220140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代理记账主要内容：账务处理、编制财务报表、固定资产账务管理、编制财务指标表、债权债务管理、编制专项款收支情况表、财务管理及内控制度建设指导、咨询及服务、会计档案资料、财务公开、财务保密制度、配合审计、其他临时事项等。</w:t>
      </w:r>
    </w:p>
    <w:p w14:paraId="68EFC02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监督管理主要内容：资金及票据审核、库存现金盘点、预算对比、决算汇报、村集体经济组织的财务状况汇总分析等。</w:t>
      </w:r>
    </w:p>
    <w:p w14:paraId="2DE2D27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（2）对中介代理机构执行村账托管情况检查。</w:t>
      </w:r>
    </w:p>
    <w:p w14:paraId="7780BE6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检查内容包括：各项财务制度建立及完善情况；“代理会计事项质询书”、“拒绝受理支付、记账报告书”的处理情况；财务人员接受专业培训等情况。</w:t>
      </w:r>
    </w:p>
    <w:p w14:paraId="25893368">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（二）绩效评价原则、评价指标体系（附表说明）、评价方法、评价标准等。</w:t>
      </w:r>
    </w:p>
    <w:p w14:paraId="1A7A339A">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1.考核原则：</w:t>
      </w:r>
    </w:p>
    <w:p w14:paraId="3AA4198D">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遵循公开、公平、公正的原则。</w:t>
      </w:r>
    </w:p>
    <w:p w14:paraId="14ED6F93">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2.考核方法：</w:t>
      </w:r>
    </w:p>
    <w:p w14:paraId="1B51544D">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（1）对中介代理机构的日常考核</w:t>
      </w:r>
    </w:p>
    <w:p w14:paraId="12EE6288">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（2）对中介代理机构执行村账托管情况检查</w:t>
      </w:r>
    </w:p>
    <w:p w14:paraId="77DEB7CD">
      <w:pPr>
        <w:spacing w:line="560" w:lineRule="exact"/>
        <w:ind w:firstLine="640" w:firstLineChars="200"/>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（三）绩效评价工作过程</w:t>
      </w:r>
    </w:p>
    <w:p w14:paraId="4FD60EF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高岭镇“村账托管”责任制考核办法》的规定，每年末镇纪委、财政科、农经中心对中介代理机构本年工作情况进行考核，财政科根据考核情况拨付代理费；镇纪委、财政科、农经中心共同组成检查小组，不定期对村、中介代理机构的村账托管执行情况进行全面检查，对检查不合格的村、中介代理机构提出整改建议。对后续整改不到位的村将进行书面通报批评；对考核不合格的中介代理机构，视情况将相应扣减当年代理费，连续两年考核不合格，将视情节严重情况依法解除或终止与其签订委托代理合同。</w:t>
      </w:r>
    </w:p>
    <w:p w14:paraId="27F5F936">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三、综合评价情况及评价结论</w:t>
      </w:r>
    </w:p>
    <w:p w14:paraId="42F1F0E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村财务外包方式加强村级财务管理工作，我们取得一定的成效，增强了村级财务人员的风险意识以及财务核算水平，确保了村级资金使用的合规性，增加了财务及资产的监督，为村级财务的风险防控保驾护航。</w:t>
      </w:r>
    </w:p>
    <w:p w14:paraId="6535F5EA">
      <w:pPr>
        <w:pStyle w:val="4"/>
        <w:ind w:firstLine="480" w:firstLineChars="150"/>
        <w:rPr>
          <w:rFonts w:ascii="宋体" w:hAnsi="宋体" w:cs="宋体"/>
          <w:lang w:val="en-US"/>
        </w:rPr>
      </w:pPr>
      <w:r>
        <w:rPr>
          <w:rFonts w:ascii="宋体" w:hAnsi="宋体" w:cs="宋体"/>
          <w:lang w:val="en-US"/>
        </w:rPr>
        <w:t>经评价，“</w:t>
      </w:r>
      <w:r>
        <w:rPr>
          <w:rFonts w:hint="eastAsia" w:ascii="宋体" w:hAnsi="宋体" w:cs="宋体"/>
          <w:lang w:val="en-US"/>
        </w:rPr>
        <w:t>高岭镇村级财务委托第三方代理记账</w:t>
      </w:r>
      <w:r>
        <w:rPr>
          <w:rFonts w:ascii="宋体" w:hAnsi="宋体" w:cs="宋体"/>
          <w:lang w:val="en-US"/>
        </w:rPr>
        <w:t>”项目</w:t>
      </w:r>
      <w:r>
        <w:rPr>
          <w:rFonts w:hint="eastAsia" w:ascii="宋体" w:hAnsi="宋体" w:eastAsia="宋体" w:cs="宋体"/>
          <w:lang w:val="en-US"/>
        </w:rPr>
        <w:t>综</w:t>
      </w:r>
      <w:r>
        <w:rPr>
          <w:rFonts w:hint="eastAsia" w:ascii="___WRD_EMBED_SUB_39" w:hAnsi="___WRD_EMBED_SUB_39" w:eastAsia="___WRD_EMBED_SUB_39" w:cs="___WRD_EMBED_SUB_39"/>
          <w:lang w:val="en-US"/>
        </w:rPr>
        <w:t>合得分</w:t>
      </w:r>
      <w:r>
        <w:rPr>
          <w:rFonts w:hint="eastAsia" w:ascii="宋体" w:hAnsi="宋体" w:eastAsia="___WRD_EMBED_SUB_39" w:cs="宋体"/>
          <w:lang w:val="en-US" w:eastAsia="zh-CN"/>
        </w:rPr>
        <w:t>90</w:t>
      </w:r>
      <w:r>
        <w:rPr>
          <w:rFonts w:ascii="宋体" w:hAnsi="宋体" w:cs="宋体"/>
          <w:lang w:val="en-US"/>
        </w:rPr>
        <w:t>分，其中：项目决策</w:t>
      </w:r>
      <w:r>
        <w:rPr>
          <w:rFonts w:hint="eastAsia" w:ascii="宋体" w:hAnsi="宋体" w:cs="宋体"/>
          <w:lang w:val="en-US"/>
        </w:rPr>
        <w:t>10</w:t>
      </w:r>
      <w:r>
        <w:rPr>
          <w:rFonts w:ascii="宋体" w:hAnsi="宋体" w:cs="宋体"/>
          <w:lang w:val="en-US"/>
        </w:rPr>
        <w:t>分，项目过程</w:t>
      </w:r>
      <w:r>
        <w:rPr>
          <w:rFonts w:hint="eastAsia" w:ascii="宋体" w:hAnsi="宋体" w:cs="宋体"/>
          <w:lang w:val="en-US" w:eastAsia="zh-CN"/>
        </w:rPr>
        <w:t>20</w:t>
      </w:r>
      <w:r>
        <w:rPr>
          <w:rFonts w:ascii="宋体" w:hAnsi="宋体" w:cs="宋体"/>
          <w:lang w:val="en-US"/>
        </w:rPr>
        <w:t>分，项目产出</w:t>
      </w:r>
      <w:r>
        <w:rPr>
          <w:rFonts w:hint="eastAsia" w:ascii="宋体" w:hAnsi="宋体" w:cs="宋体"/>
          <w:lang w:val="en-US" w:eastAsia="zh-CN"/>
        </w:rPr>
        <w:t>35</w:t>
      </w:r>
      <w:r>
        <w:rPr>
          <w:rFonts w:ascii="宋体" w:hAnsi="宋体" w:cs="宋体"/>
          <w:lang w:val="en-US"/>
        </w:rPr>
        <w:t>分，项目效益</w:t>
      </w:r>
      <w:r>
        <w:rPr>
          <w:rFonts w:hint="eastAsia" w:ascii="宋体" w:hAnsi="宋体" w:cs="宋体"/>
          <w:lang w:val="en-US" w:eastAsia="zh-CN"/>
        </w:rPr>
        <w:t>25</w:t>
      </w:r>
      <w:r>
        <w:rPr>
          <w:rFonts w:ascii="宋体" w:hAnsi="宋体" w:cs="宋体"/>
          <w:lang w:val="en-US"/>
        </w:rPr>
        <w:t>分，项目</w:t>
      </w:r>
      <w:r>
        <w:rPr>
          <w:rFonts w:hint="eastAsia" w:ascii="宋体" w:hAnsi="宋体" w:cs="宋体"/>
          <w:lang w:val="en-US"/>
        </w:rPr>
        <w:t>综合绩效级别评定结论为</w:t>
      </w:r>
      <w:r>
        <w:rPr>
          <w:rFonts w:ascii="宋体" w:hAnsi="宋体" w:cs="宋体"/>
          <w:lang w:val="en-US"/>
        </w:rPr>
        <w:t>“</w:t>
      </w:r>
      <w:r>
        <w:rPr>
          <w:rFonts w:hint="eastAsia" w:ascii="宋体" w:hAnsi="宋体" w:eastAsia="宋体" w:cs="宋体"/>
          <w:lang w:val="en-US" w:eastAsia="zh-CN"/>
        </w:rPr>
        <w:t>优</w:t>
      </w:r>
      <w:r>
        <w:rPr>
          <w:rFonts w:ascii="宋体" w:hAnsi="宋体" w:cs="宋体"/>
          <w:lang w:val="en-US"/>
        </w:rPr>
        <w:t>”。</w:t>
      </w:r>
    </w:p>
    <w:p w14:paraId="1ED387CC">
      <w:pPr>
        <w:numPr>
          <w:ilvl w:val="0"/>
          <w:numId w:val="5"/>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绩效评价指标分析</w:t>
      </w:r>
    </w:p>
    <w:p w14:paraId="0F386AC7">
      <w:pPr>
        <w:pStyle w:val="4"/>
        <w:spacing w:line="560" w:lineRule="exact"/>
        <w:ind w:left="0" w:firstLine="640" w:firstLineChars="200"/>
      </w:pPr>
      <w:r>
        <w:rPr>
          <w:rFonts w:hint="eastAsia"/>
        </w:rPr>
        <w:t>（</w:t>
      </w:r>
      <w:r>
        <w:rPr>
          <w:rFonts w:hint="eastAsia"/>
          <w:lang w:val="en-US"/>
        </w:rPr>
        <w:t>1</w:t>
      </w:r>
      <w:r>
        <w:rPr>
          <w:rFonts w:hint="eastAsia"/>
        </w:rPr>
        <w:t>）项目决策情况：</w:t>
      </w:r>
    </w:p>
    <w:p w14:paraId="35403429">
      <w:pPr>
        <w:pStyle w:val="4"/>
        <w:spacing w:line="560" w:lineRule="exact"/>
        <w:ind w:left="0" w:firstLine="640" w:firstLineChars="200"/>
        <w:rPr>
          <w:lang w:val="en-US" w:bidi="ar-SA"/>
        </w:rPr>
      </w:pPr>
      <w:r>
        <w:rPr>
          <w:rFonts w:hint="eastAsia"/>
          <w:lang w:val="en-US" w:bidi="ar-SA"/>
        </w:rPr>
        <w:t>该项目符合国家法律法规和相关政策，项目立项程序规范，按照规定的程序申请设立；绩效目标合理，绩效目标根据实际情况设立，符合客观实际。绩效指标明确，清晰、细化、可衡量；预算编制科学，预算内容与项目内容匹配；预算额度测算依据充分，按照标准编制；预算确定的项目资金量与工作任务相匹配；资金分配合理。</w:t>
      </w:r>
    </w:p>
    <w:p w14:paraId="01BAE6CA">
      <w:pPr>
        <w:pStyle w:val="4"/>
        <w:numPr>
          <w:ilvl w:val="0"/>
          <w:numId w:val="6"/>
        </w:numPr>
        <w:spacing w:line="560" w:lineRule="exact"/>
        <w:ind w:left="0" w:firstLine="640" w:firstLineChars="200"/>
        <w:rPr>
          <w:lang w:val="en-US" w:bidi="ar-SA"/>
        </w:rPr>
      </w:pPr>
      <w:r>
        <w:rPr>
          <w:rFonts w:hint="eastAsia"/>
          <w:lang w:val="en-US" w:bidi="ar-SA"/>
        </w:rPr>
        <w:t>项目过程情况：</w:t>
      </w:r>
    </w:p>
    <w:p w14:paraId="32E5A9AE">
      <w:pPr>
        <w:pStyle w:val="4"/>
        <w:spacing w:line="560" w:lineRule="exact"/>
        <w:ind w:left="0" w:firstLine="640" w:firstLineChars="200"/>
        <w:rPr>
          <w:lang w:val="en-US" w:bidi="ar-SA"/>
        </w:rPr>
      </w:pPr>
      <w:r>
        <w:rPr>
          <w:rFonts w:hint="eastAsia"/>
          <w:lang w:val="en-US" w:bidi="ar-SA"/>
        </w:rPr>
        <w:t>该项目使用预算资金符合国家财经法规和财务管理制度规定；有完整的审批程序和手续；已制定相应的财务和业务管理制度；财务和业务管理制度合法、合规、完整。该项目实施遵守相关法律法规和相关管理规定。</w:t>
      </w:r>
    </w:p>
    <w:p w14:paraId="033BF8CC">
      <w:pPr>
        <w:pStyle w:val="4"/>
        <w:numPr>
          <w:ilvl w:val="0"/>
          <w:numId w:val="6"/>
        </w:numPr>
        <w:spacing w:line="560" w:lineRule="exact"/>
        <w:ind w:left="0" w:firstLine="640" w:firstLineChars="200"/>
        <w:rPr>
          <w:lang w:val="en-US" w:bidi="ar-SA"/>
        </w:rPr>
      </w:pPr>
      <w:r>
        <w:rPr>
          <w:rFonts w:hint="eastAsia"/>
          <w:lang w:val="en-US" w:bidi="ar-SA"/>
        </w:rPr>
        <w:t>项目产出情况：</w:t>
      </w:r>
    </w:p>
    <w:p w14:paraId="4EF598EB">
      <w:pPr>
        <w:pStyle w:val="4"/>
        <w:spacing w:line="560" w:lineRule="exact"/>
        <w:ind w:left="0" w:firstLine="640" w:firstLineChars="200"/>
        <w:rPr>
          <w:lang w:val="en-US" w:bidi="ar-SA"/>
        </w:rPr>
      </w:pPr>
      <w:r>
        <w:rPr>
          <w:rFonts w:hint="eastAsia"/>
          <w:lang w:val="en-US" w:bidi="ar-SA"/>
        </w:rPr>
        <w:t xml:space="preserve"> 严格执行了村级资金审核工作，确保财务数据准确，及时全面地</w:t>
      </w:r>
      <w:r>
        <w:rPr>
          <w:rFonts w:hint="eastAsia"/>
          <w:lang w:val="en-US" w:eastAsia="zh-CN" w:bidi="ar-SA"/>
        </w:rPr>
        <w:t>反映</w:t>
      </w:r>
      <w:bookmarkStart w:id="0" w:name="_GoBack"/>
      <w:bookmarkEnd w:id="0"/>
      <w:r>
        <w:rPr>
          <w:rFonts w:hint="eastAsia"/>
          <w:lang w:val="en-US" w:bidi="ar-SA"/>
        </w:rPr>
        <w:t>了农村集体经济组织的经济运行状况，进一步规范了村级财务管理。</w:t>
      </w:r>
    </w:p>
    <w:p w14:paraId="20FBBF97">
      <w:pPr>
        <w:pStyle w:val="4"/>
        <w:numPr>
          <w:ilvl w:val="0"/>
          <w:numId w:val="6"/>
        </w:numPr>
        <w:spacing w:line="560" w:lineRule="exact"/>
        <w:ind w:left="0" w:firstLine="640" w:firstLineChars="200"/>
        <w:rPr>
          <w:lang w:val="en-US" w:bidi="ar-SA"/>
        </w:rPr>
      </w:pPr>
      <w:r>
        <w:rPr>
          <w:rFonts w:hint="eastAsia"/>
          <w:lang w:val="en-US" w:bidi="ar-SA"/>
        </w:rPr>
        <w:t>项目效益情况：</w:t>
      </w:r>
    </w:p>
    <w:p w14:paraId="06B6F8D8">
      <w:pPr>
        <w:pStyle w:val="4"/>
        <w:spacing w:line="560" w:lineRule="exact"/>
        <w:ind w:left="0" w:firstLine="640" w:firstLineChars="200"/>
        <w:rPr>
          <w:lang w:val="en-US" w:bidi="ar-SA"/>
        </w:rPr>
      </w:pPr>
      <w:r>
        <w:rPr>
          <w:rFonts w:hint="eastAsia"/>
          <w:lang w:val="en-US" w:bidi="ar-SA"/>
        </w:rPr>
        <w:t>目前已按照工作计划，完成高岭镇村级财务会计委托代理工作，全镇21个村的代理记账及监督管理工作，项目资金使用规范，达到预期目标要求。</w:t>
      </w:r>
    </w:p>
    <w:p w14:paraId="09852EA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五、主要经验及做法、存在的问题及原因分析</w:t>
      </w:r>
    </w:p>
    <w:p w14:paraId="31E98C6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对代理记账人员和村级</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eastAsia="zh-CN"/>
        </w:rPr>
        <w:t>监督</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eastAsia="zh-CN"/>
        </w:rPr>
        <w:t>，提升代理记账人员整体素质和专业能力，同时也提升</w:t>
      </w:r>
      <w:r>
        <w:rPr>
          <w:rFonts w:hint="eastAsia" w:ascii="仿宋_GB2312" w:hAnsi="仿宋_GB2312" w:eastAsia="仿宋_GB2312" w:cs="仿宋_GB2312"/>
          <w:sz w:val="32"/>
          <w:szCs w:val="32"/>
        </w:rPr>
        <w:t>村级财务管理人员的政策法规意识</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业务水平，为村级财务管理规范化和制度化夯实了基础。</w:t>
      </w:r>
    </w:p>
    <w:p w14:paraId="73A73FF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（2）对村级资金</w:t>
      </w:r>
      <w:r>
        <w:rPr>
          <w:rFonts w:hint="eastAsia" w:ascii="仿宋_GB2312" w:hAnsi="仿宋_GB2312" w:eastAsia="仿宋_GB2312" w:cs="仿宋_GB2312"/>
          <w:sz w:val="32"/>
          <w:szCs w:val="32"/>
          <w:lang w:eastAsia="zh-CN"/>
        </w:rPr>
        <w:t>使用及报账流程等实行</w:t>
      </w:r>
      <w:r>
        <w:rPr>
          <w:rFonts w:hint="eastAsia" w:ascii="仿宋_GB2312" w:hAnsi="仿宋_GB2312" w:eastAsia="仿宋_GB2312" w:cs="仿宋_GB2312"/>
          <w:sz w:val="32"/>
          <w:szCs w:val="32"/>
        </w:rPr>
        <w:t>全过程管控，建立</w:t>
      </w:r>
      <w:r>
        <w:rPr>
          <w:rFonts w:hint="eastAsia" w:ascii="仿宋_GB2312" w:hAnsi="仿宋_GB2312" w:eastAsia="仿宋_GB2312" w:cs="仿宋_GB2312"/>
          <w:sz w:val="32"/>
          <w:szCs w:val="32"/>
          <w:lang w:eastAsia="zh-CN"/>
        </w:rPr>
        <w:t>各村</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实时</w:t>
      </w:r>
      <w:r>
        <w:rPr>
          <w:rFonts w:hint="eastAsia" w:ascii="仿宋_GB2312" w:hAnsi="仿宋_GB2312" w:eastAsia="仿宋_GB2312" w:cs="仿宋_GB2312"/>
          <w:sz w:val="32"/>
          <w:szCs w:val="32"/>
        </w:rPr>
        <w:t>台账，明确村级岗位职责和具体分工，完善了村级报账流程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手续，避免事后监督和监督“缺位”现象，有效厘清业务办理与事后监督的分工权责，使村级财务管理工作进一步制度化、科学化。</w:t>
      </w:r>
    </w:p>
    <w:p w14:paraId="6EAC079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村级财务公开工作</w:t>
      </w:r>
      <w:r>
        <w:rPr>
          <w:rFonts w:hint="eastAsia" w:ascii="仿宋_GB2312" w:hAnsi="仿宋_GB2312" w:eastAsia="仿宋_GB2312" w:cs="仿宋_GB2312"/>
          <w:sz w:val="32"/>
          <w:szCs w:val="32"/>
          <w:lang w:eastAsia="zh-CN"/>
        </w:rPr>
        <w:t>进行指导</w:t>
      </w:r>
      <w:r>
        <w:rPr>
          <w:rFonts w:hint="eastAsia" w:ascii="仿宋_GB2312" w:hAnsi="仿宋_GB2312" w:eastAsia="仿宋_GB2312" w:cs="仿宋_GB2312"/>
          <w:sz w:val="32"/>
          <w:szCs w:val="32"/>
        </w:rPr>
        <w:t>，促进了村民民主意识的提高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推进了农村民主管理的进程，减少了因收入分配、支出不合理、不透明引发的矛盾纠纷，保证了村经济业务有序、顺利的开展。</w:t>
      </w:r>
    </w:p>
    <w:p w14:paraId="3065E0A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六、有关建议</w:t>
      </w:r>
    </w:p>
    <w:p w14:paraId="7482A8C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2EED74BE">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七、其他需要说明的问题</w:t>
      </w:r>
    </w:p>
    <w:p w14:paraId="50CB47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4939FB64">
      <w:pPr>
        <w:pStyle w:val="4"/>
        <w:rPr>
          <w:rFonts w:hint="eastAsia" w:ascii="仿宋_GB2312" w:hAnsi="仿宋_GB2312" w:eastAsia="仿宋_GB2312" w:cs="仿宋_GB2312"/>
          <w:sz w:val="32"/>
          <w:szCs w:val="32"/>
        </w:rPr>
      </w:pPr>
    </w:p>
    <w:p w14:paraId="7E278FBB">
      <w:pPr>
        <w:pStyle w:val="2"/>
        <w:spacing w:before="0" w:after="0" w:line="240" w:lineRule="auto"/>
        <w:jc w:val="center"/>
        <w:rPr>
          <w:rFonts w:hint="eastAsia" w:ascii="方正小标宋简体" w:hAnsi="黑体" w:eastAsia="方正小标宋简体" w:cs="宋体"/>
          <w:b w:val="0"/>
          <w:bCs/>
          <w:color w:val="000000"/>
          <w:sz w:val="36"/>
          <w:szCs w:val="36"/>
        </w:rPr>
      </w:pPr>
      <w:r>
        <w:rPr>
          <w:rFonts w:hint="eastAsia" w:ascii="方正小标宋简体" w:hAnsi="黑体" w:eastAsia="方正小标宋简体" w:cs="宋体"/>
          <w:b w:val="0"/>
          <w:bCs/>
          <w:color w:val="000000"/>
          <w:sz w:val="36"/>
          <w:szCs w:val="36"/>
        </w:rPr>
        <w:t>高岭镇村级</w:t>
      </w:r>
      <w:r>
        <w:rPr>
          <w:rFonts w:hint="eastAsia" w:ascii="方正小标宋简体" w:hAnsi="黑体" w:eastAsia="方正小标宋简体" w:cs="宋体"/>
          <w:b w:val="0"/>
          <w:bCs/>
          <w:color w:val="000000"/>
          <w:sz w:val="36"/>
          <w:szCs w:val="36"/>
          <w:lang w:eastAsia="zh-CN"/>
        </w:rPr>
        <w:t>会计</w:t>
      </w:r>
      <w:r>
        <w:rPr>
          <w:rFonts w:hint="eastAsia" w:ascii="方正小标宋简体" w:hAnsi="黑体" w:eastAsia="方正小标宋简体" w:cs="宋体"/>
          <w:b w:val="0"/>
          <w:bCs/>
          <w:color w:val="000000"/>
          <w:sz w:val="36"/>
          <w:szCs w:val="36"/>
        </w:rPr>
        <w:t>代理记账项目支出绩效评价指标体系及打分表</w:t>
      </w:r>
    </w:p>
    <w:tbl>
      <w:tblPr>
        <w:tblStyle w:val="11"/>
        <w:tblW w:w="1186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909"/>
        <w:gridCol w:w="1701"/>
        <w:gridCol w:w="1252"/>
        <w:gridCol w:w="5953"/>
        <w:gridCol w:w="1189"/>
      </w:tblGrid>
      <w:tr w14:paraId="15EF6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2" w:hRule="atLeast"/>
          <w:tblHeader/>
          <w:jc w:val="center"/>
        </w:trPr>
        <w:tc>
          <w:tcPr>
            <w:tcW w:w="861" w:type="dxa"/>
            <w:shd w:val="clear" w:color="auto" w:fill="FFFFFF"/>
            <w:vAlign w:val="center"/>
          </w:tcPr>
          <w:p w14:paraId="4F97C2F3">
            <w:pPr>
              <w:widowControl/>
              <w:spacing w:line="0" w:lineRule="atLeast"/>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一级指标</w:t>
            </w:r>
          </w:p>
        </w:tc>
        <w:tc>
          <w:tcPr>
            <w:tcW w:w="909" w:type="dxa"/>
            <w:shd w:val="clear" w:color="auto" w:fill="FFFFFF"/>
            <w:vAlign w:val="center"/>
          </w:tcPr>
          <w:p w14:paraId="69F12C87">
            <w:pPr>
              <w:widowControl/>
              <w:spacing w:line="0" w:lineRule="atLeast"/>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二级指标</w:t>
            </w:r>
          </w:p>
        </w:tc>
        <w:tc>
          <w:tcPr>
            <w:tcW w:w="1701" w:type="dxa"/>
            <w:shd w:val="clear" w:color="auto" w:fill="FFFFFF"/>
            <w:vAlign w:val="center"/>
          </w:tcPr>
          <w:p w14:paraId="5E1ED792">
            <w:pPr>
              <w:widowControl/>
              <w:spacing w:line="0" w:lineRule="atLeast"/>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三级指标</w:t>
            </w:r>
          </w:p>
        </w:tc>
        <w:tc>
          <w:tcPr>
            <w:tcW w:w="1252" w:type="dxa"/>
            <w:shd w:val="clear" w:color="auto" w:fill="FFFFFF"/>
            <w:vAlign w:val="center"/>
          </w:tcPr>
          <w:p w14:paraId="1D592EE5">
            <w:pPr>
              <w:widowControl/>
              <w:spacing w:line="0" w:lineRule="atLeast"/>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分值</w:t>
            </w:r>
          </w:p>
        </w:tc>
        <w:tc>
          <w:tcPr>
            <w:tcW w:w="5953" w:type="dxa"/>
            <w:shd w:val="clear" w:color="auto" w:fill="FFFFFF"/>
            <w:vAlign w:val="center"/>
          </w:tcPr>
          <w:p w14:paraId="60BE7255">
            <w:pPr>
              <w:widowControl/>
              <w:spacing w:line="0" w:lineRule="atLeast"/>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评价要点</w:t>
            </w:r>
          </w:p>
        </w:tc>
        <w:tc>
          <w:tcPr>
            <w:tcW w:w="1189" w:type="dxa"/>
            <w:shd w:val="clear" w:color="auto" w:fill="FFFFFF"/>
            <w:vAlign w:val="top"/>
          </w:tcPr>
          <w:p w14:paraId="4EC6D04A">
            <w:pPr>
              <w:widowControl/>
              <w:spacing w:line="0" w:lineRule="atLeast"/>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得分</w:t>
            </w:r>
          </w:p>
        </w:tc>
      </w:tr>
      <w:tr w14:paraId="03C6B6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88" w:hRule="atLeast"/>
          <w:jc w:val="center"/>
        </w:trPr>
        <w:tc>
          <w:tcPr>
            <w:tcW w:w="861" w:type="dxa"/>
            <w:vMerge w:val="restart"/>
            <w:shd w:val="clear" w:color="auto" w:fill="FFFFFF"/>
            <w:vAlign w:val="center"/>
          </w:tcPr>
          <w:p w14:paraId="7A4898D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决策　</w:t>
            </w:r>
          </w:p>
          <w:p w14:paraId="1EA3D58B">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p w14:paraId="59DAE95C">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909" w:type="dxa"/>
            <w:vMerge w:val="restart"/>
            <w:shd w:val="clear" w:color="auto" w:fill="FFFFFF"/>
            <w:vAlign w:val="center"/>
          </w:tcPr>
          <w:p w14:paraId="071D9A88">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项目立项　</w:t>
            </w:r>
          </w:p>
        </w:tc>
        <w:tc>
          <w:tcPr>
            <w:tcW w:w="1701" w:type="dxa"/>
            <w:shd w:val="clear" w:color="auto" w:fill="FFFFFF"/>
            <w:vAlign w:val="center"/>
          </w:tcPr>
          <w:p w14:paraId="241A4C77">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立项依据</w:t>
            </w:r>
          </w:p>
          <w:p w14:paraId="363E371D">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充分性</w:t>
            </w:r>
          </w:p>
        </w:tc>
        <w:tc>
          <w:tcPr>
            <w:tcW w:w="1252" w:type="dxa"/>
            <w:shd w:val="clear" w:color="auto" w:fill="FFFFFF"/>
            <w:vAlign w:val="center"/>
          </w:tcPr>
          <w:p w14:paraId="6ADC8B1C">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auto" w:fill="FFFFFF"/>
            <w:vAlign w:val="center"/>
          </w:tcPr>
          <w:p w14:paraId="17696964">
            <w:pPr>
              <w:widowControl/>
              <w:spacing w:line="0" w:lineRule="atLeast"/>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①项目立项是否符合国家法律法规、国民经济发展规划和相关政策；</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②项目立项是否符合行业发展规划和政策要求；</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③项目立项是否与部门职责范围相符，属于部门履职所需；</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④项目是否属于公共财政支持范围，是否符合中央、地方事权支出责任划分原则；</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⑤项目是否与相关部门同类项目或部门内部相关项目重复。</w:t>
            </w:r>
          </w:p>
        </w:tc>
        <w:tc>
          <w:tcPr>
            <w:tcW w:w="1189" w:type="dxa"/>
            <w:shd w:val="clear" w:color="auto" w:fill="FFFFFF"/>
            <w:vAlign w:val="top"/>
          </w:tcPr>
          <w:p w14:paraId="32C2EF18">
            <w:pPr>
              <w:widowControl/>
              <w:spacing w:line="0" w:lineRule="atLeast"/>
              <w:jc w:val="center"/>
              <w:rPr>
                <w:rFonts w:hint="eastAsia" w:ascii="仿宋_GB2312" w:hAnsi="宋体" w:eastAsia="仿宋_GB2312" w:cs="宋体"/>
                <w:color w:val="000000"/>
                <w:kern w:val="0"/>
                <w:sz w:val="24"/>
              </w:rPr>
            </w:pPr>
          </w:p>
          <w:p w14:paraId="6D8E6FF2">
            <w:pPr>
              <w:widowControl/>
              <w:spacing w:line="0" w:lineRule="atLeast"/>
              <w:jc w:val="center"/>
              <w:rPr>
                <w:rFonts w:hint="eastAsia" w:ascii="仿宋_GB2312" w:hAnsi="宋体" w:eastAsia="仿宋_GB2312" w:cs="宋体"/>
                <w:color w:val="000000"/>
                <w:kern w:val="0"/>
                <w:sz w:val="24"/>
              </w:rPr>
            </w:pPr>
          </w:p>
          <w:p w14:paraId="4A4F2355">
            <w:pPr>
              <w:widowControl/>
              <w:spacing w:line="0" w:lineRule="atLeast"/>
              <w:jc w:val="center"/>
              <w:rPr>
                <w:rFonts w:hint="eastAsia" w:ascii="仿宋_GB2312" w:hAnsi="宋体" w:eastAsia="仿宋_GB2312" w:cs="宋体"/>
                <w:color w:val="000000"/>
                <w:kern w:val="0"/>
                <w:sz w:val="24"/>
              </w:rPr>
            </w:pPr>
          </w:p>
          <w:p w14:paraId="67C25EB7">
            <w:pPr>
              <w:widowControl/>
              <w:spacing w:line="0" w:lineRule="atLeast"/>
              <w:jc w:val="center"/>
              <w:rPr>
                <w:rFonts w:hint="eastAsia" w:ascii="仿宋_GB2312" w:hAnsi="宋体" w:eastAsia="仿宋_GB2312" w:cs="宋体"/>
                <w:color w:val="000000"/>
                <w:kern w:val="0"/>
                <w:sz w:val="24"/>
              </w:rPr>
            </w:pPr>
          </w:p>
          <w:p w14:paraId="049A69C7">
            <w:pPr>
              <w:widowControl/>
              <w:spacing w:line="0" w:lineRule="atLeast"/>
              <w:jc w:val="center"/>
              <w:rPr>
                <w:rFonts w:hint="eastAsia" w:ascii="仿宋_GB2312" w:hAnsi="宋体" w:eastAsia="仿宋_GB2312" w:cs="宋体"/>
                <w:color w:val="000000"/>
                <w:kern w:val="0"/>
                <w:sz w:val="24"/>
              </w:rPr>
            </w:pPr>
          </w:p>
          <w:p w14:paraId="30680A40">
            <w:pPr>
              <w:widowControl/>
              <w:spacing w:line="0" w:lineRule="atLeast"/>
              <w:ind w:firstLine="360" w:firstLineChars="15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r>
      <w:tr w14:paraId="4C8349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71" w:hRule="atLeast"/>
          <w:jc w:val="center"/>
        </w:trPr>
        <w:tc>
          <w:tcPr>
            <w:tcW w:w="861" w:type="dxa"/>
            <w:vMerge w:val="continue"/>
            <w:shd w:val="clear" w:color="auto" w:fill="FFFFFF"/>
            <w:vAlign w:val="center"/>
          </w:tcPr>
          <w:p w14:paraId="6FA9E262">
            <w:pPr>
              <w:spacing w:line="0" w:lineRule="atLeast"/>
              <w:jc w:val="center"/>
              <w:rPr>
                <w:rFonts w:hint="eastAsia" w:ascii="仿宋_GB2312" w:hAnsi="宋体" w:eastAsia="仿宋_GB2312" w:cs="宋体"/>
                <w:color w:val="000000"/>
                <w:kern w:val="0"/>
                <w:sz w:val="24"/>
              </w:rPr>
            </w:pPr>
          </w:p>
        </w:tc>
        <w:tc>
          <w:tcPr>
            <w:tcW w:w="909" w:type="dxa"/>
            <w:vMerge w:val="continue"/>
            <w:shd w:val="clear" w:color="auto" w:fill="FFFFFF"/>
            <w:vAlign w:val="center"/>
          </w:tcPr>
          <w:p w14:paraId="7809F06E">
            <w:pPr>
              <w:widowControl/>
              <w:spacing w:line="0" w:lineRule="atLeast"/>
              <w:jc w:val="center"/>
              <w:rPr>
                <w:rFonts w:hint="eastAsia" w:ascii="仿宋_GB2312" w:hAnsi="宋体" w:eastAsia="仿宋_GB2312" w:cs="宋体"/>
                <w:color w:val="000000"/>
                <w:kern w:val="0"/>
                <w:sz w:val="24"/>
              </w:rPr>
            </w:pPr>
          </w:p>
        </w:tc>
        <w:tc>
          <w:tcPr>
            <w:tcW w:w="1701" w:type="dxa"/>
            <w:shd w:val="clear" w:color="auto" w:fill="FFFFFF"/>
            <w:vAlign w:val="center"/>
          </w:tcPr>
          <w:p w14:paraId="04EA235D">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立项程序</w:t>
            </w:r>
          </w:p>
          <w:p w14:paraId="5E50AB92">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规范性</w:t>
            </w:r>
          </w:p>
        </w:tc>
        <w:tc>
          <w:tcPr>
            <w:tcW w:w="1252" w:type="dxa"/>
            <w:shd w:val="clear" w:color="auto" w:fill="FFFFFF"/>
            <w:vAlign w:val="center"/>
          </w:tcPr>
          <w:p w14:paraId="471FB917">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5953" w:type="dxa"/>
            <w:shd w:val="clear" w:color="auto" w:fill="FFFFFF"/>
            <w:vAlign w:val="center"/>
          </w:tcPr>
          <w:p w14:paraId="19CBECF3">
            <w:pPr>
              <w:widowControl/>
              <w:spacing w:line="0" w:lineRule="atLeast"/>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①项目是否按照规定的程序申请设立；</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②审批文件、材料是否符合相关要求；</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③事前是否已经过必要的可行性研究、专家论证、风险评估、绩效评估、集体决策。</w:t>
            </w:r>
          </w:p>
        </w:tc>
        <w:tc>
          <w:tcPr>
            <w:tcW w:w="1189" w:type="dxa"/>
            <w:shd w:val="clear" w:color="auto" w:fill="FFFFFF"/>
            <w:vAlign w:val="top"/>
          </w:tcPr>
          <w:p w14:paraId="6A156390">
            <w:pPr>
              <w:widowControl/>
              <w:spacing w:line="0" w:lineRule="atLeast"/>
              <w:jc w:val="center"/>
              <w:rPr>
                <w:rFonts w:hint="eastAsia" w:ascii="仿宋_GB2312" w:hAnsi="宋体" w:eastAsia="仿宋_GB2312" w:cs="宋体"/>
                <w:color w:val="000000"/>
                <w:kern w:val="0"/>
                <w:sz w:val="24"/>
              </w:rPr>
            </w:pPr>
          </w:p>
          <w:p w14:paraId="05E7C6B8">
            <w:pPr>
              <w:widowControl/>
              <w:spacing w:line="0" w:lineRule="atLeast"/>
              <w:jc w:val="center"/>
              <w:rPr>
                <w:rFonts w:hint="eastAsia" w:ascii="仿宋_GB2312" w:hAnsi="宋体" w:eastAsia="仿宋_GB2312" w:cs="宋体"/>
                <w:color w:val="000000"/>
                <w:kern w:val="0"/>
                <w:sz w:val="24"/>
              </w:rPr>
            </w:pPr>
          </w:p>
          <w:p w14:paraId="04502A89">
            <w:pPr>
              <w:widowControl/>
              <w:spacing w:line="0" w:lineRule="atLeast"/>
              <w:rPr>
                <w:rFonts w:hint="eastAsia" w:ascii="仿宋_GB2312" w:hAnsi="宋体" w:eastAsia="仿宋_GB2312" w:cs="宋体"/>
                <w:color w:val="000000"/>
                <w:kern w:val="0"/>
                <w:sz w:val="24"/>
              </w:rPr>
            </w:pPr>
          </w:p>
          <w:p w14:paraId="06CCE377">
            <w:pPr>
              <w:widowControl/>
              <w:spacing w:line="0" w:lineRule="atLeast"/>
              <w:ind w:firstLine="360" w:firstLineChars="15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14:paraId="6463A3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9" w:hRule="atLeast"/>
          <w:jc w:val="center"/>
        </w:trPr>
        <w:tc>
          <w:tcPr>
            <w:tcW w:w="861" w:type="dxa"/>
            <w:vMerge w:val="continue"/>
            <w:shd w:val="clear" w:color="auto" w:fill="FFFFFF"/>
            <w:vAlign w:val="center"/>
          </w:tcPr>
          <w:p w14:paraId="7AF825B9">
            <w:pPr>
              <w:spacing w:line="0" w:lineRule="atLeast"/>
              <w:jc w:val="center"/>
              <w:rPr>
                <w:rFonts w:hint="eastAsia" w:ascii="仿宋_GB2312" w:hAnsi="宋体" w:eastAsia="仿宋_GB2312" w:cs="宋体"/>
                <w:color w:val="000000"/>
                <w:kern w:val="0"/>
                <w:sz w:val="24"/>
              </w:rPr>
            </w:pPr>
          </w:p>
        </w:tc>
        <w:tc>
          <w:tcPr>
            <w:tcW w:w="909" w:type="dxa"/>
            <w:shd w:val="clear" w:color="auto" w:fill="FFFFFF"/>
            <w:vAlign w:val="center"/>
          </w:tcPr>
          <w:p w14:paraId="6D5201A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绩效目标　</w:t>
            </w:r>
          </w:p>
        </w:tc>
        <w:tc>
          <w:tcPr>
            <w:tcW w:w="1701" w:type="dxa"/>
            <w:shd w:val="clear" w:color="auto" w:fill="FFFFFF"/>
            <w:vAlign w:val="center"/>
          </w:tcPr>
          <w:p w14:paraId="38DD05D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绩效目标</w:t>
            </w:r>
          </w:p>
          <w:p w14:paraId="65E8EBBD">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合理性</w:t>
            </w:r>
          </w:p>
        </w:tc>
        <w:tc>
          <w:tcPr>
            <w:tcW w:w="1252" w:type="dxa"/>
            <w:shd w:val="clear" w:color="000000" w:fill="FFFFFF"/>
            <w:vAlign w:val="center"/>
          </w:tcPr>
          <w:p w14:paraId="6867F3E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000000" w:fill="FFFFFF"/>
            <w:vAlign w:val="center"/>
          </w:tcPr>
          <w:p w14:paraId="3253CC9B">
            <w:pPr>
              <w:widowControl/>
              <w:spacing w:line="0" w:lineRule="atLeast"/>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（如未设定预算绩效目标，也可考核其他工作任务目标）</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①项目是否有绩效目标；</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②项目绩效目标与实际工作内容是否具有相关性；</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③项目预期产出效益和效果是否符合正常的业绩水平；</w:t>
            </w:r>
          </w:p>
          <w:p w14:paraId="477D0239">
            <w:pPr>
              <w:widowControl/>
              <w:spacing w:line="0" w:lineRule="atLeast"/>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④是否与预算确定的项目投资额或资金量相匹配。</w:t>
            </w:r>
          </w:p>
        </w:tc>
        <w:tc>
          <w:tcPr>
            <w:tcW w:w="1189" w:type="dxa"/>
            <w:shd w:val="clear" w:color="000000" w:fill="FFFFFF"/>
            <w:vAlign w:val="top"/>
          </w:tcPr>
          <w:p w14:paraId="68836EF7">
            <w:pPr>
              <w:widowControl/>
              <w:spacing w:line="0" w:lineRule="atLeast"/>
              <w:jc w:val="center"/>
              <w:rPr>
                <w:rFonts w:hint="eastAsia" w:ascii="仿宋_GB2312" w:hAnsi="宋体" w:eastAsia="仿宋_GB2312" w:cs="宋体"/>
                <w:color w:val="000000"/>
                <w:kern w:val="0"/>
                <w:sz w:val="24"/>
              </w:rPr>
            </w:pPr>
          </w:p>
          <w:p w14:paraId="56D0BD9D">
            <w:pPr>
              <w:widowControl/>
              <w:spacing w:line="0" w:lineRule="atLeast"/>
              <w:jc w:val="center"/>
              <w:rPr>
                <w:rFonts w:hint="eastAsia" w:ascii="仿宋_GB2312" w:hAnsi="宋体" w:eastAsia="仿宋_GB2312" w:cs="宋体"/>
                <w:color w:val="000000"/>
                <w:kern w:val="0"/>
                <w:sz w:val="24"/>
              </w:rPr>
            </w:pPr>
          </w:p>
          <w:p w14:paraId="2144D52A">
            <w:pPr>
              <w:widowControl/>
              <w:spacing w:line="0" w:lineRule="atLeast"/>
              <w:jc w:val="center"/>
              <w:rPr>
                <w:rFonts w:hint="eastAsia" w:ascii="仿宋_GB2312" w:hAnsi="宋体" w:eastAsia="仿宋_GB2312" w:cs="宋体"/>
                <w:color w:val="000000"/>
                <w:kern w:val="0"/>
                <w:sz w:val="24"/>
              </w:rPr>
            </w:pPr>
          </w:p>
          <w:p w14:paraId="4AD7C241">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r>
      <w:tr w14:paraId="678A5C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65" w:hRule="atLeast"/>
          <w:jc w:val="center"/>
        </w:trPr>
        <w:tc>
          <w:tcPr>
            <w:tcW w:w="861" w:type="dxa"/>
            <w:vMerge w:val="restart"/>
            <w:shd w:val="clear" w:color="auto" w:fill="FFFFFF"/>
            <w:vAlign w:val="center"/>
          </w:tcPr>
          <w:p w14:paraId="7C3B796C">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决策　</w:t>
            </w:r>
          </w:p>
        </w:tc>
        <w:tc>
          <w:tcPr>
            <w:tcW w:w="909" w:type="dxa"/>
            <w:shd w:val="clear" w:color="auto" w:fill="FFFFFF"/>
            <w:vAlign w:val="center"/>
          </w:tcPr>
          <w:p w14:paraId="67B486CA">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绩效目标</w:t>
            </w:r>
          </w:p>
        </w:tc>
        <w:tc>
          <w:tcPr>
            <w:tcW w:w="1701" w:type="dxa"/>
            <w:shd w:val="clear" w:color="auto" w:fill="FFFFFF"/>
            <w:vAlign w:val="center"/>
          </w:tcPr>
          <w:p w14:paraId="319958B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绩效指标</w:t>
            </w:r>
          </w:p>
          <w:p w14:paraId="47C7BF67">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明确性</w:t>
            </w:r>
          </w:p>
        </w:tc>
        <w:tc>
          <w:tcPr>
            <w:tcW w:w="1252" w:type="dxa"/>
            <w:shd w:val="clear" w:color="000000" w:fill="FFFFFF"/>
            <w:vAlign w:val="center"/>
          </w:tcPr>
          <w:p w14:paraId="5021E463">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000000" w:fill="FFFFFF"/>
            <w:vAlign w:val="center"/>
          </w:tcPr>
          <w:p w14:paraId="23503614">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①是否将项目绩效目标细化分解为具体的绩效指标；</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②是否通过清晰、可衡量的指标值予以体现；</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③是否与项目目标任务数或计划数相对应。</w:t>
            </w:r>
            <w:r>
              <w:rPr>
                <w:rFonts w:hint="eastAsia" w:ascii="仿宋_GB2312" w:hAnsi="宋体" w:eastAsia="仿宋_GB2312" w:cs="宋体"/>
                <w:color w:val="000000"/>
                <w:kern w:val="0"/>
                <w:sz w:val="24"/>
              </w:rPr>
              <w:br w:type="textWrapping"/>
            </w:r>
          </w:p>
        </w:tc>
        <w:tc>
          <w:tcPr>
            <w:tcW w:w="1189" w:type="dxa"/>
            <w:shd w:val="clear" w:color="000000" w:fill="FFFFFF"/>
            <w:vAlign w:val="top"/>
          </w:tcPr>
          <w:p w14:paraId="482321D4">
            <w:pPr>
              <w:widowControl/>
              <w:spacing w:line="0" w:lineRule="atLeast"/>
              <w:jc w:val="center"/>
              <w:rPr>
                <w:rFonts w:ascii="仿宋_GB2312" w:hAnsi="宋体" w:eastAsia="仿宋_GB2312" w:cs="宋体"/>
                <w:color w:val="000000"/>
                <w:kern w:val="0"/>
                <w:sz w:val="24"/>
              </w:rPr>
            </w:pPr>
          </w:p>
          <w:p w14:paraId="200EB87D">
            <w:pPr>
              <w:ind w:firstLine="360" w:firstLineChars="150"/>
              <w:rPr>
                <w:rFonts w:hint="eastAsia" w:ascii="仿宋_GB2312" w:hAnsi="宋体" w:eastAsia="仿宋_GB2312" w:cs="宋体"/>
                <w:sz w:val="24"/>
              </w:rPr>
            </w:pPr>
          </w:p>
          <w:p w14:paraId="2A878AB2">
            <w:pPr>
              <w:ind w:firstLine="360" w:firstLineChars="150"/>
              <w:rPr>
                <w:rFonts w:hint="eastAsia" w:ascii="仿宋_GB2312" w:hAnsi="宋体" w:eastAsia="仿宋_GB2312" w:cs="宋体"/>
                <w:sz w:val="24"/>
              </w:rPr>
            </w:pPr>
            <w:r>
              <w:rPr>
                <w:rFonts w:hint="eastAsia" w:ascii="仿宋_GB2312" w:hAnsi="宋体" w:eastAsia="仿宋_GB2312" w:cs="宋体"/>
                <w:sz w:val="24"/>
              </w:rPr>
              <w:t>2</w:t>
            </w:r>
          </w:p>
        </w:tc>
      </w:tr>
      <w:tr w14:paraId="018627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42" w:hRule="atLeast"/>
          <w:jc w:val="center"/>
        </w:trPr>
        <w:tc>
          <w:tcPr>
            <w:tcW w:w="861" w:type="dxa"/>
            <w:vMerge w:val="continue"/>
            <w:shd w:val="clear" w:color="auto" w:fill="FFFFFF"/>
            <w:vAlign w:val="center"/>
          </w:tcPr>
          <w:p w14:paraId="182DC2CA">
            <w:pPr>
              <w:spacing w:line="0" w:lineRule="atLeast"/>
              <w:jc w:val="center"/>
              <w:rPr>
                <w:rFonts w:hint="eastAsia" w:ascii="仿宋_GB2312" w:hAnsi="宋体" w:eastAsia="仿宋_GB2312" w:cs="宋体"/>
                <w:color w:val="000000"/>
                <w:kern w:val="0"/>
                <w:sz w:val="24"/>
              </w:rPr>
            </w:pPr>
          </w:p>
        </w:tc>
        <w:tc>
          <w:tcPr>
            <w:tcW w:w="909" w:type="dxa"/>
            <w:vMerge w:val="restart"/>
            <w:shd w:val="clear" w:color="auto" w:fill="FFFFFF"/>
            <w:vAlign w:val="center"/>
          </w:tcPr>
          <w:p w14:paraId="30704CDE">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资金投入</w:t>
            </w:r>
          </w:p>
          <w:p w14:paraId="2DE3DAA4">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shd w:val="clear" w:color="auto" w:fill="FFFFFF"/>
            <w:vAlign w:val="center"/>
          </w:tcPr>
          <w:p w14:paraId="677D3244">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预算编制</w:t>
            </w:r>
          </w:p>
          <w:p w14:paraId="5DA747B2">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科学性</w:t>
            </w:r>
          </w:p>
        </w:tc>
        <w:tc>
          <w:tcPr>
            <w:tcW w:w="1252" w:type="dxa"/>
            <w:shd w:val="clear" w:color="auto" w:fill="FFFFFF"/>
            <w:vAlign w:val="center"/>
          </w:tcPr>
          <w:p w14:paraId="7DCC412E">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auto" w:fill="FFFFFF"/>
            <w:vAlign w:val="center"/>
          </w:tcPr>
          <w:p w14:paraId="347F419B">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①预算编制是否经过科学论证；</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②预算内容与项目内容是否匹配；</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③预算额度测算依据是否充分，是否按照标准编制；</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④预算确定的项目投资额或资金量是否与工作任务相匹配。</w:t>
            </w:r>
          </w:p>
        </w:tc>
        <w:tc>
          <w:tcPr>
            <w:tcW w:w="1189" w:type="dxa"/>
            <w:shd w:val="clear" w:color="auto" w:fill="FFFFFF"/>
            <w:vAlign w:val="top"/>
          </w:tcPr>
          <w:p w14:paraId="2B8F0EB1">
            <w:pPr>
              <w:widowControl/>
              <w:spacing w:line="0" w:lineRule="atLeast"/>
              <w:jc w:val="center"/>
              <w:rPr>
                <w:rFonts w:hint="eastAsia" w:ascii="仿宋_GB2312" w:hAnsi="宋体" w:eastAsia="仿宋_GB2312" w:cs="宋体"/>
                <w:color w:val="000000"/>
                <w:kern w:val="0"/>
                <w:sz w:val="24"/>
              </w:rPr>
            </w:pPr>
          </w:p>
          <w:p w14:paraId="11FB8EE3">
            <w:pPr>
              <w:widowControl/>
              <w:spacing w:line="0" w:lineRule="atLeast"/>
              <w:jc w:val="center"/>
              <w:rPr>
                <w:rFonts w:hint="eastAsia" w:ascii="仿宋_GB2312" w:hAnsi="宋体" w:eastAsia="仿宋_GB2312" w:cs="宋体"/>
                <w:color w:val="000000"/>
                <w:kern w:val="0"/>
                <w:sz w:val="24"/>
              </w:rPr>
            </w:pPr>
          </w:p>
          <w:p w14:paraId="5B07DCB1">
            <w:pPr>
              <w:widowControl/>
              <w:spacing w:line="0" w:lineRule="atLeast"/>
              <w:jc w:val="center"/>
              <w:rPr>
                <w:rFonts w:hint="eastAsia" w:ascii="仿宋_GB2312" w:hAnsi="宋体" w:eastAsia="仿宋_GB2312" w:cs="宋体"/>
                <w:color w:val="000000"/>
                <w:kern w:val="0"/>
                <w:sz w:val="24"/>
              </w:rPr>
            </w:pPr>
          </w:p>
          <w:p w14:paraId="7AA0437A">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r>
      <w:tr w14:paraId="72A2A6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06" w:hRule="atLeast"/>
          <w:jc w:val="center"/>
        </w:trPr>
        <w:tc>
          <w:tcPr>
            <w:tcW w:w="861" w:type="dxa"/>
            <w:vMerge w:val="continue"/>
            <w:shd w:val="clear" w:color="auto" w:fill="FFFFFF"/>
            <w:vAlign w:val="center"/>
          </w:tcPr>
          <w:p w14:paraId="719D4534">
            <w:pPr>
              <w:widowControl/>
              <w:spacing w:line="0" w:lineRule="atLeast"/>
              <w:jc w:val="center"/>
              <w:rPr>
                <w:rFonts w:hint="eastAsia" w:ascii="仿宋_GB2312" w:hAnsi="宋体" w:eastAsia="仿宋_GB2312" w:cs="宋体"/>
                <w:color w:val="000000"/>
                <w:kern w:val="0"/>
                <w:sz w:val="24"/>
              </w:rPr>
            </w:pPr>
          </w:p>
        </w:tc>
        <w:tc>
          <w:tcPr>
            <w:tcW w:w="909" w:type="dxa"/>
            <w:vMerge w:val="continue"/>
            <w:shd w:val="clear" w:color="auto" w:fill="FFFFFF"/>
            <w:vAlign w:val="center"/>
          </w:tcPr>
          <w:p w14:paraId="12410563">
            <w:pPr>
              <w:widowControl/>
              <w:spacing w:line="0" w:lineRule="atLeast"/>
              <w:jc w:val="center"/>
              <w:rPr>
                <w:rFonts w:hint="eastAsia" w:ascii="仿宋_GB2312" w:hAnsi="宋体" w:eastAsia="仿宋_GB2312" w:cs="宋体"/>
                <w:color w:val="000000"/>
                <w:kern w:val="0"/>
                <w:sz w:val="24"/>
              </w:rPr>
            </w:pPr>
          </w:p>
        </w:tc>
        <w:tc>
          <w:tcPr>
            <w:tcW w:w="1701" w:type="dxa"/>
            <w:shd w:val="clear" w:color="auto" w:fill="FFFFFF"/>
            <w:vAlign w:val="center"/>
          </w:tcPr>
          <w:p w14:paraId="4A2CA5E0">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资金分配</w:t>
            </w:r>
          </w:p>
          <w:p w14:paraId="6DDA3634">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合理性</w:t>
            </w:r>
          </w:p>
        </w:tc>
        <w:tc>
          <w:tcPr>
            <w:tcW w:w="1252" w:type="dxa"/>
            <w:shd w:val="clear" w:color="auto" w:fill="FFFFFF"/>
            <w:vAlign w:val="center"/>
          </w:tcPr>
          <w:p w14:paraId="62A71953">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w:t>
            </w:r>
          </w:p>
        </w:tc>
        <w:tc>
          <w:tcPr>
            <w:tcW w:w="5953" w:type="dxa"/>
            <w:shd w:val="clear" w:color="auto" w:fill="FFFFFF"/>
            <w:vAlign w:val="center"/>
          </w:tcPr>
          <w:p w14:paraId="1BD17316">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①预算资金分配依据是否充分；</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②资金分配额度是否合理，与项目单位或地方实际是否相适应。</w:t>
            </w:r>
          </w:p>
        </w:tc>
        <w:tc>
          <w:tcPr>
            <w:tcW w:w="1189" w:type="dxa"/>
            <w:shd w:val="clear" w:color="auto" w:fill="FFFFFF"/>
            <w:vAlign w:val="top"/>
          </w:tcPr>
          <w:p w14:paraId="7B5FEE2D">
            <w:pPr>
              <w:widowControl/>
              <w:spacing w:line="0" w:lineRule="atLeast"/>
              <w:jc w:val="center"/>
              <w:rPr>
                <w:rFonts w:hint="eastAsia" w:ascii="仿宋_GB2312" w:hAnsi="宋体" w:eastAsia="仿宋_GB2312" w:cs="宋体"/>
                <w:color w:val="000000"/>
                <w:kern w:val="0"/>
                <w:sz w:val="24"/>
              </w:rPr>
            </w:pPr>
          </w:p>
          <w:p w14:paraId="7AC4AC57">
            <w:pPr>
              <w:widowControl/>
              <w:spacing w:line="0" w:lineRule="atLeast"/>
              <w:jc w:val="center"/>
              <w:rPr>
                <w:rFonts w:hint="eastAsia" w:ascii="仿宋_GB2312" w:hAnsi="宋体" w:eastAsia="仿宋_GB2312" w:cs="宋体"/>
                <w:color w:val="000000"/>
                <w:kern w:val="0"/>
                <w:sz w:val="24"/>
              </w:rPr>
            </w:pPr>
          </w:p>
          <w:p w14:paraId="35D037D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w:t>
            </w:r>
          </w:p>
        </w:tc>
      </w:tr>
      <w:tr w14:paraId="15CCC2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36" w:hRule="atLeast"/>
          <w:jc w:val="center"/>
        </w:trPr>
        <w:tc>
          <w:tcPr>
            <w:tcW w:w="861" w:type="dxa"/>
            <w:vMerge w:val="restart"/>
            <w:shd w:val="clear" w:color="auto" w:fill="FFFFFF"/>
            <w:vAlign w:val="center"/>
          </w:tcPr>
          <w:p w14:paraId="46F79496">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过程</w:t>
            </w:r>
          </w:p>
        </w:tc>
        <w:tc>
          <w:tcPr>
            <w:tcW w:w="909" w:type="dxa"/>
            <w:vMerge w:val="restart"/>
            <w:shd w:val="clear" w:color="auto" w:fill="FFFFFF"/>
            <w:vAlign w:val="center"/>
          </w:tcPr>
          <w:p w14:paraId="7F12C558">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资金管理</w:t>
            </w:r>
          </w:p>
        </w:tc>
        <w:tc>
          <w:tcPr>
            <w:tcW w:w="1701" w:type="dxa"/>
            <w:shd w:val="clear" w:color="auto" w:fill="FFFFFF"/>
            <w:vAlign w:val="center"/>
          </w:tcPr>
          <w:p w14:paraId="1C9E63BB">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资金到位率</w:t>
            </w:r>
          </w:p>
        </w:tc>
        <w:tc>
          <w:tcPr>
            <w:tcW w:w="1252" w:type="dxa"/>
            <w:shd w:val="clear" w:color="000000" w:fill="FFFFFF"/>
            <w:vAlign w:val="center"/>
          </w:tcPr>
          <w:p w14:paraId="64CF969B">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000000" w:fill="FFFFFF"/>
            <w:vAlign w:val="center"/>
          </w:tcPr>
          <w:p w14:paraId="569B8D9F">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资金到位率=（实际到位资金/预算资金）×100%。</w:t>
            </w:r>
          </w:p>
          <w:p w14:paraId="106C12B0">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实际到位资金：一定时期（本年度或项目期）内落实到具体项目的资金。</w:t>
            </w:r>
          </w:p>
          <w:p w14:paraId="451AC8A8">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预算资金：一定时期（本年度或项目期）内预算安排到具体项目的资金。</w:t>
            </w:r>
          </w:p>
        </w:tc>
        <w:tc>
          <w:tcPr>
            <w:tcW w:w="1189" w:type="dxa"/>
            <w:shd w:val="clear" w:color="000000" w:fill="FFFFFF"/>
            <w:vAlign w:val="top"/>
          </w:tcPr>
          <w:p w14:paraId="1D9A60B9">
            <w:pPr>
              <w:widowControl/>
              <w:spacing w:line="0" w:lineRule="atLeast"/>
              <w:jc w:val="center"/>
              <w:rPr>
                <w:rFonts w:hint="eastAsia" w:ascii="仿宋_GB2312" w:hAnsi="宋体" w:eastAsia="仿宋_GB2312" w:cs="宋体"/>
                <w:color w:val="000000"/>
                <w:kern w:val="0"/>
                <w:sz w:val="24"/>
              </w:rPr>
            </w:pPr>
          </w:p>
          <w:p w14:paraId="17B8340E">
            <w:pPr>
              <w:widowControl/>
              <w:spacing w:line="0" w:lineRule="atLeast"/>
              <w:jc w:val="center"/>
              <w:rPr>
                <w:rFonts w:hint="eastAsia" w:ascii="仿宋_GB2312" w:hAnsi="宋体" w:eastAsia="仿宋_GB2312" w:cs="宋体"/>
                <w:color w:val="000000"/>
                <w:kern w:val="0"/>
                <w:sz w:val="24"/>
              </w:rPr>
            </w:pPr>
          </w:p>
          <w:p w14:paraId="304FE459">
            <w:pPr>
              <w:widowControl/>
              <w:spacing w:line="0" w:lineRule="atLeast"/>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lang w:val="en-US" w:eastAsia="zh-CN"/>
              </w:rPr>
              <w:t>2</w:t>
            </w:r>
          </w:p>
        </w:tc>
      </w:tr>
      <w:tr w14:paraId="5E8497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39" w:hRule="atLeast"/>
          <w:jc w:val="center"/>
        </w:trPr>
        <w:tc>
          <w:tcPr>
            <w:tcW w:w="861" w:type="dxa"/>
            <w:vMerge w:val="continue"/>
            <w:shd w:val="clear" w:color="auto" w:fill="FFFFFF"/>
            <w:vAlign w:val="center"/>
          </w:tcPr>
          <w:p w14:paraId="7AF4818E">
            <w:pPr>
              <w:spacing w:line="0" w:lineRule="atLeast"/>
              <w:jc w:val="center"/>
              <w:rPr>
                <w:rFonts w:hint="eastAsia" w:ascii="仿宋_GB2312" w:hAnsi="宋体" w:eastAsia="仿宋_GB2312" w:cs="宋体"/>
                <w:color w:val="000000"/>
                <w:kern w:val="0"/>
                <w:sz w:val="24"/>
              </w:rPr>
            </w:pPr>
          </w:p>
        </w:tc>
        <w:tc>
          <w:tcPr>
            <w:tcW w:w="909" w:type="dxa"/>
            <w:vMerge w:val="continue"/>
            <w:shd w:val="clear" w:color="auto" w:fill="FFFFFF"/>
            <w:vAlign w:val="center"/>
          </w:tcPr>
          <w:p w14:paraId="2EAAA949">
            <w:pPr>
              <w:spacing w:line="0" w:lineRule="atLeast"/>
              <w:jc w:val="center"/>
              <w:rPr>
                <w:rFonts w:hint="eastAsia" w:ascii="仿宋_GB2312" w:hAnsi="宋体" w:eastAsia="仿宋_GB2312" w:cs="宋体"/>
                <w:color w:val="000000"/>
                <w:kern w:val="0"/>
                <w:sz w:val="24"/>
              </w:rPr>
            </w:pPr>
          </w:p>
        </w:tc>
        <w:tc>
          <w:tcPr>
            <w:tcW w:w="1701" w:type="dxa"/>
            <w:shd w:val="clear" w:color="auto" w:fill="FFFFFF"/>
            <w:vAlign w:val="center"/>
          </w:tcPr>
          <w:p w14:paraId="1301A38D">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预算执行率</w:t>
            </w:r>
          </w:p>
        </w:tc>
        <w:tc>
          <w:tcPr>
            <w:tcW w:w="1252" w:type="dxa"/>
            <w:shd w:val="clear" w:color="auto" w:fill="FFFFFF"/>
            <w:vAlign w:val="center"/>
          </w:tcPr>
          <w:p w14:paraId="1D9C4FDB">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p>
        </w:tc>
        <w:tc>
          <w:tcPr>
            <w:tcW w:w="5953" w:type="dxa"/>
            <w:shd w:val="clear" w:color="auto" w:fill="FFFFFF"/>
            <w:vAlign w:val="center"/>
          </w:tcPr>
          <w:p w14:paraId="1F934C35">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预算执行率=（实际支出资金/实际到位资金）×100%。</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实际支出资金：一定时期（本年度或项目期）内项目实际拨付的资金。</w:t>
            </w:r>
          </w:p>
        </w:tc>
        <w:tc>
          <w:tcPr>
            <w:tcW w:w="1189" w:type="dxa"/>
            <w:shd w:val="clear" w:color="auto" w:fill="FFFFFF"/>
            <w:vAlign w:val="top"/>
          </w:tcPr>
          <w:p w14:paraId="032B7678">
            <w:pPr>
              <w:widowControl/>
              <w:spacing w:line="0" w:lineRule="atLeast"/>
              <w:jc w:val="center"/>
              <w:rPr>
                <w:rFonts w:hint="eastAsia" w:ascii="仿宋_GB2312" w:hAnsi="宋体" w:eastAsia="仿宋_GB2312" w:cs="宋体"/>
                <w:color w:val="000000"/>
                <w:kern w:val="0"/>
                <w:sz w:val="24"/>
              </w:rPr>
            </w:pPr>
          </w:p>
          <w:p w14:paraId="181D5415">
            <w:pPr>
              <w:widowControl/>
              <w:spacing w:line="0" w:lineRule="atLeast"/>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lang w:val="en-US" w:eastAsia="zh-CN"/>
              </w:rPr>
              <w:t>2</w:t>
            </w:r>
          </w:p>
        </w:tc>
      </w:tr>
      <w:tr w14:paraId="37DC4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64" w:hRule="atLeast"/>
          <w:jc w:val="center"/>
        </w:trPr>
        <w:tc>
          <w:tcPr>
            <w:tcW w:w="861" w:type="dxa"/>
            <w:vMerge w:val="restart"/>
            <w:shd w:val="clear" w:color="auto" w:fill="FFFFFF"/>
            <w:vAlign w:val="center"/>
          </w:tcPr>
          <w:p w14:paraId="3BB00945">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p w14:paraId="4790AE12">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过程　</w:t>
            </w:r>
          </w:p>
        </w:tc>
        <w:tc>
          <w:tcPr>
            <w:tcW w:w="909" w:type="dxa"/>
            <w:shd w:val="clear" w:color="auto" w:fill="FFFFFF"/>
            <w:vAlign w:val="center"/>
          </w:tcPr>
          <w:p w14:paraId="04A65638">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资金管理</w:t>
            </w:r>
          </w:p>
        </w:tc>
        <w:tc>
          <w:tcPr>
            <w:tcW w:w="1701" w:type="dxa"/>
            <w:shd w:val="clear" w:color="auto" w:fill="FFFFFF"/>
            <w:vAlign w:val="center"/>
          </w:tcPr>
          <w:p w14:paraId="6B3A3D0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资金使用</w:t>
            </w:r>
          </w:p>
          <w:p w14:paraId="5AD0BEE4">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合规性</w:t>
            </w:r>
          </w:p>
        </w:tc>
        <w:tc>
          <w:tcPr>
            <w:tcW w:w="1252" w:type="dxa"/>
            <w:shd w:val="clear" w:color="000000" w:fill="FFFFFF"/>
            <w:vAlign w:val="center"/>
          </w:tcPr>
          <w:p w14:paraId="19E666DE">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4</w:t>
            </w:r>
          </w:p>
        </w:tc>
        <w:tc>
          <w:tcPr>
            <w:tcW w:w="5953" w:type="dxa"/>
            <w:shd w:val="clear" w:color="000000" w:fill="FFFFFF"/>
            <w:vAlign w:val="center"/>
          </w:tcPr>
          <w:p w14:paraId="02416562">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①是否符合国家财经法规和财务管理制度以及有关专项资金管理办法的规定；</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②资金的拨付是否有完整的审批程序和手续；</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③是否符合项目预算批复或合同规定的用途；</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④是否存在截留、挤占、挪用、虚列支出等情况。</w:t>
            </w:r>
          </w:p>
        </w:tc>
        <w:tc>
          <w:tcPr>
            <w:tcW w:w="1189" w:type="dxa"/>
            <w:shd w:val="clear" w:color="000000" w:fill="FFFFFF"/>
            <w:vAlign w:val="top"/>
          </w:tcPr>
          <w:p w14:paraId="6DEFEE09">
            <w:pPr>
              <w:widowControl/>
              <w:spacing w:line="0" w:lineRule="atLeast"/>
              <w:jc w:val="center"/>
              <w:rPr>
                <w:rFonts w:hint="eastAsia" w:ascii="仿宋_GB2312" w:hAnsi="宋体" w:eastAsia="仿宋_GB2312" w:cs="宋体"/>
                <w:color w:val="000000"/>
                <w:kern w:val="0"/>
                <w:sz w:val="24"/>
              </w:rPr>
            </w:pPr>
          </w:p>
          <w:p w14:paraId="174177F5">
            <w:pPr>
              <w:widowControl/>
              <w:spacing w:line="0" w:lineRule="atLeast"/>
              <w:jc w:val="center"/>
              <w:rPr>
                <w:rFonts w:hint="eastAsia" w:ascii="仿宋_GB2312" w:hAnsi="宋体" w:eastAsia="仿宋_GB2312" w:cs="宋体"/>
                <w:color w:val="000000"/>
                <w:kern w:val="0"/>
                <w:sz w:val="24"/>
              </w:rPr>
            </w:pPr>
          </w:p>
          <w:p w14:paraId="11E020A7">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4</w:t>
            </w:r>
          </w:p>
        </w:tc>
      </w:tr>
      <w:tr w14:paraId="3DDD1F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217" w:hRule="atLeast"/>
          <w:jc w:val="center"/>
        </w:trPr>
        <w:tc>
          <w:tcPr>
            <w:tcW w:w="861" w:type="dxa"/>
            <w:vMerge w:val="continue"/>
            <w:shd w:val="clear" w:color="auto" w:fill="FFFFFF"/>
            <w:vAlign w:val="center"/>
          </w:tcPr>
          <w:p w14:paraId="4424F263">
            <w:pPr>
              <w:spacing w:line="0" w:lineRule="atLeast"/>
              <w:jc w:val="center"/>
              <w:rPr>
                <w:rFonts w:hint="eastAsia" w:ascii="仿宋_GB2312" w:hAnsi="宋体" w:eastAsia="仿宋_GB2312" w:cs="宋体"/>
                <w:color w:val="000000"/>
                <w:kern w:val="0"/>
                <w:sz w:val="24"/>
              </w:rPr>
            </w:pPr>
          </w:p>
        </w:tc>
        <w:tc>
          <w:tcPr>
            <w:tcW w:w="909" w:type="dxa"/>
            <w:vMerge w:val="restart"/>
            <w:shd w:val="clear" w:color="auto" w:fill="FFFFFF"/>
            <w:vAlign w:val="center"/>
          </w:tcPr>
          <w:p w14:paraId="1AEE5873">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组织实施</w:t>
            </w:r>
          </w:p>
          <w:p w14:paraId="5BFDD303">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shd w:val="clear" w:color="auto" w:fill="FFFFFF"/>
            <w:vAlign w:val="center"/>
          </w:tcPr>
          <w:p w14:paraId="42ED6502">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管理制度</w:t>
            </w:r>
          </w:p>
          <w:p w14:paraId="57EFB4A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健全性</w:t>
            </w:r>
          </w:p>
        </w:tc>
        <w:tc>
          <w:tcPr>
            <w:tcW w:w="1252" w:type="dxa"/>
            <w:shd w:val="clear" w:color="000000" w:fill="FFFFFF"/>
            <w:vAlign w:val="center"/>
          </w:tcPr>
          <w:p w14:paraId="53437482">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6</w:t>
            </w:r>
          </w:p>
        </w:tc>
        <w:tc>
          <w:tcPr>
            <w:tcW w:w="5953" w:type="dxa"/>
            <w:shd w:val="clear" w:color="000000" w:fill="FFFFFF"/>
            <w:vAlign w:val="center"/>
          </w:tcPr>
          <w:p w14:paraId="09BA23E3">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①是否已制定或具有相应的财务和业务管理制度；</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②财务和业务管理制度是否合法、合规、完整。</w:t>
            </w:r>
          </w:p>
        </w:tc>
        <w:tc>
          <w:tcPr>
            <w:tcW w:w="1189" w:type="dxa"/>
            <w:shd w:val="clear" w:color="000000" w:fill="FFFFFF"/>
            <w:vAlign w:val="top"/>
          </w:tcPr>
          <w:p w14:paraId="458DEB2E">
            <w:pPr>
              <w:widowControl/>
              <w:spacing w:line="0" w:lineRule="atLeast"/>
              <w:jc w:val="center"/>
              <w:rPr>
                <w:rFonts w:hint="eastAsia" w:ascii="仿宋_GB2312" w:hAnsi="宋体" w:eastAsia="仿宋_GB2312" w:cs="宋体"/>
                <w:color w:val="000000"/>
                <w:kern w:val="0"/>
                <w:sz w:val="24"/>
              </w:rPr>
            </w:pPr>
          </w:p>
          <w:p w14:paraId="733CCD59">
            <w:pPr>
              <w:widowControl/>
              <w:spacing w:line="0" w:lineRule="atLeast"/>
              <w:jc w:val="center"/>
              <w:rPr>
                <w:rFonts w:hint="eastAsia" w:ascii="仿宋_GB2312" w:hAnsi="宋体" w:eastAsia="仿宋_GB2312" w:cs="宋体"/>
                <w:color w:val="000000"/>
                <w:kern w:val="0"/>
                <w:sz w:val="24"/>
              </w:rPr>
            </w:pPr>
          </w:p>
          <w:p w14:paraId="6D874BB5">
            <w:pPr>
              <w:widowControl/>
              <w:spacing w:line="0" w:lineRule="atLeast"/>
              <w:jc w:val="center"/>
              <w:rPr>
                <w:rFonts w:hint="eastAsia" w:ascii="仿宋_GB2312" w:hAnsi="宋体" w:eastAsia="仿宋_GB2312" w:cs="宋体"/>
                <w:color w:val="000000"/>
                <w:kern w:val="0"/>
                <w:sz w:val="24"/>
              </w:rPr>
            </w:pPr>
          </w:p>
          <w:p w14:paraId="5BC67F6B">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6</w:t>
            </w:r>
          </w:p>
        </w:tc>
      </w:tr>
      <w:tr w14:paraId="71BCC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9" w:hRule="atLeast"/>
          <w:jc w:val="center"/>
        </w:trPr>
        <w:tc>
          <w:tcPr>
            <w:tcW w:w="861" w:type="dxa"/>
            <w:vMerge w:val="continue"/>
            <w:shd w:val="clear" w:color="auto" w:fill="FFFFFF"/>
            <w:vAlign w:val="center"/>
          </w:tcPr>
          <w:p w14:paraId="2749504A">
            <w:pPr>
              <w:widowControl/>
              <w:spacing w:line="0" w:lineRule="atLeast"/>
              <w:jc w:val="center"/>
              <w:rPr>
                <w:rFonts w:hint="eastAsia" w:ascii="仿宋_GB2312" w:hAnsi="宋体" w:eastAsia="仿宋_GB2312" w:cs="宋体"/>
                <w:color w:val="000000"/>
                <w:kern w:val="0"/>
                <w:sz w:val="24"/>
              </w:rPr>
            </w:pPr>
          </w:p>
        </w:tc>
        <w:tc>
          <w:tcPr>
            <w:tcW w:w="909" w:type="dxa"/>
            <w:vMerge w:val="continue"/>
            <w:shd w:val="clear" w:color="auto" w:fill="FFFFFF"/>
            <w:vAlign w:val="center"/>
          </w:tcPr>
          <w:p w14:paraId="5FCCD847">
            <w:pPr>
              <w:widowControl/>
              <w:spacing w:line="0" w:lineRule="atLeast"/>
              <w:jc w:val="center"/>
              <w:rPr>
                <w:rFonts w:hint="eastAsia" w:ascii="仿宋_GB2312" w:hAnsi="宋体" w:eastAsia="仿宋_GB2312" w:cs="宋体"/>
                <w:color w:val="000000"/>
                <w:kern w:val="0"/>
                <w:sz w:val="24"/>
              </w:rPr>
            </w:pPr>
          </w:p>
        </w:tc>
        <w:tc>
          <w:tcPr>
            <w:tcW w:w="1701" w:type="dxa"/>
            <w:shd w:val="clear" w:color="auto" w:fill="FFFFFF"/>
            <w:vAlign w:val="center"/>
          </w:tcPr>
          <w:p w14:paraId="14A75D00">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制度执行</w:t>
            </w:r>
          </w:p>
          <w:p w14:paraId="598B02D3">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有效性</w:t>
            </w:r>
          </w:p>
        </w:tc>
        <w:tc>
          <w:tcPr>
            <w:tcW w:w="1252" w:type="dxa"/>
            <w:shd w:val="clear" w:color="000000" w:fill="FFFFFF"/>
            <w:vAlign w:val="center"/>
          </w:tcPr>
          <w:p w14:paraId="22F01A7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6</w:t>
            </w:r>
          </w:p>
        </w:tc>
        <w:tc>
          <w:tcPr>
            <w:tcW w:w="5953" w:type="dxa"/>
            <w:shd w:val="clear" w:color="000000" w:fill="FFFFFF"/>
            <w:vAlign w:val="center"/>
          </w:tcPr>
          <w:p w14:paraId="0A4CA770">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评价要点：</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①是否遵守相关法律法规和相关管理规定；</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②项目调整及支出调整手续是否完备；</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③项目合同书、验收报告、技术鉴定等资料是否齐全并及时归档；</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④项目实施的人员条件、场地设备、信息支撑等是否落实到位。</w:t>
            </w:r>
          </w:p>
        </w:tc>
        <w:tc>
          <w:tcPr>
            <w:tcW w:w="1189" w:type="dxa"/>
            <w:shd w:val="clear" w:color="000000" w:fill="FFFFFF"/>
            <w:vAlign w:val="top"/>
          </w:tcPr>
          <w:p w14:paraId="0C72B8A2">
            <w:pPr>
              <w:widowControl/>
              <w:spacing w:line="0" w:lineRule="atLeast"/>
              <w:jc w:val="center"/>
              <w:rPr>
                <w:rFonts w:hint="eastAsia" w:ascii="仿宋_GB2312" w:hAnsi="宋体" w:eastAsia="仿宋_GB2312" w:cs="宋体"/>
                <w:color w:val="000000"/>
                <w:kern w:val="0"/>
                <w:sz w:val="24"/>
              </w:rPr>
            </w:pPr>
          </w:p>
          <w:p w14:paraId="277E7778">
            <w:pPr>
              <w:widowControl/>
              <w:spacing w:line="0" w:lineRule="atLeast"/>
              <w:jc w:val="center"/>
              <w:rPr>
                <w:rFonts w:hint="eastAsia" w:ascii="仿宋_GB2312" w:hAnsi="宋体" w:eastAsia="仿宋_GB2312" w:cs="宋体"/>
                <w:color w:val="000000"/>
                <w:kern w:val="0"/>
                <w:sz w:val="24"/>
              </w:rPr>
            </w:pPr>
          </w:p>
          <w:p w14:paraId="0A24F247">
            <w:pPr>
              <w:widowControl/>
              <w:spacing w:line="0" w:lineRule="atLeast"/>
              <w:jc w:val="center"/>
              <w:rPr>
                <w:rFonts w:hint="eastAsia" w:ascii="仿宋_GB2312" w:hAnsi="宋体" w:eastAsia="仿宋_GB2312" w:cs="宋体"/>
                <w:color w:val="000000"/>
                <w:kern w:val="0"/>
                <w:sz w:val="24"/>
              </w:rPr>
            </w:pPr>
          </w:p>
          <w:p w14:paraId="7BEB9E89">
            <w:pPr>
              <w:widowControl/>
              <w:spacing w:line="0" w:lineRule="atLeast"/>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lang w:val="en-US" w:eastAsia="zh-CN"/>
              </w:rPr>
              <w:t>6</w:t>
            </w:r>
          </w:p>
        </w:tc>
      </w:tr>
      <w:tr w14:paraId="71F7AF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97" w:hRule="atLeast"/>
          <w:jc w:val="center"/>
        </w:trPr>
        <w:tc>
          <w:tcPr>
            <w:tcW w:w="861" w:type="dxa"/>
            <w:shd w:val="clear" w:color="auto" w:fill="FFFFFF"/>
            <w:vAlign w:val="center"/>
          </w:tcPr>
          <w:p w14:paraId="131678E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w:t>
            </w:r>
          </w:p>
        </w:tc>
        <w:tc>
          <w:tcPr>
            <w:tcW w:w="909" w:type="dxa"/>
            <w:shd w:val="clear" w:color="auto" w:fill="FFFFFF"/>
            <w:vAlign w:val="center"/>
          </w:tcPr>
          <w:p w14:paraId="68A0D762">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产出数量</w:t>
            </w:r>
          </w:p>
        </w:tc>
        <w:tc>
          <w:tcPr>
            <w:tcW w:w="1701" w:type="dxa"/>
            <w:shd w:val="clear" w:color="auto" w:fill="FFFFFF"/>
            <w:vAlign w:val="center"/>
          </w:tcPr>
          <w:p w14:paraId="303BE4E7">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实际完成率</w:t>
            </w:r>
          </w:p>
        </w:tc>
        <w:tc>
          <w:tcPr>
            <w:tcW w:w="1252" w:type="dxa"/>
            <w:shd w:val="clear" w:color="000000" w:fill="FFFFFF"/>
            <w:vAlign w:val="center"/>
          </w:tcPr>
          <w:p w14:paraId="24E22199">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5953" w:type="dxa"/>
            <w:shd w:val="clear" w:color="000000" w:fill="FFFFFF"/>
            <w:vAlign w:val="center"/>
          </w:tcPr>
          <w:p w14:paraId="021870AD">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实际完成率=（实际产出数/计划产出数）×100%。</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实际产出数：一定时期（本年度或项目期）内项目实际产出的产品或提供的服务数量。</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计划产出数：项目绩效目标确定的在一定时期（本年度或项目期）内计划产出的产品或提供的服务数量。</w:t>
            </w:r>
          </w:p>
        </w:tc>
        <w:tc>
          <w:tcPr>
            <w:tcW w:w="1189" w:type="dxa"/>
            <w:shd w:val="clear" w:color="000000" w:fill="FFFFFF"/>
            <w:vAlign w:val="top"/>
          </w:tcPr>
          <w:p w14:paraId="5662D55C">
            <w:pPr>
              <w:widowControl/>
              <w:spacing w:line="0" w:lineRule="atLeast"/>
              <w:jc w:val="center"/>
              <w:rPr>
                <w:rFonts w:hint="eastAsia" w:ascii="仿宋_GB2312" w:hAnsi="宋体" w:eastAsia="仿宋_GB2312" w:cs="宋体"/>
                <w:color w:val="000000"/>
                <w:kern w:val="0"/>
                <w:sz w:val="24"/>
              </w:rPr>
            </w:pPr>
          </w:p>
          <w:p w14:paraId="71E32DC6">
            <w:pPr>
              <w:widowControl/>
              <w:spacing w:line="0" w:lineRule="atLeast"/>
              <w:jc w:val="center"/>
              <w:rPr>
                <w:rFonts w:hint="eastAsia" w:ascii="仿宋_GB2312" w:hAnsi="宋体" w:eastAsia="仿宋_GB2312" w:cs="宋体"/>
                <w:color w:val="000000"/>
                <w:kern w:val="0"/>
                <w:sz w:val="24"/>
              </w:rPr>
            </w:pPr>
          </w:p>
          <w:p w14:paraId="454D0819">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8</w:t>
            </w:r>
          </w:p>
        </w:tc>
      </w:tr>
      <w:tr w14:paraId="42238C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8" w:hRule="atLeast"/>
          <w:jc w:val="center"/>
        </w:trPr>
        <w:tc>
          <w:tcPr>
            <w:tcW w:w="861" w:type="dxa"/>
            <w:vMerge w:val="restart"/>
            <w:shd w:val="clear" w:color="auto" w:fill="FFFFFF"/>
            <w:vAlign w:val="center"/>
          </w:tcPr>
          <w:p w14:paraId="634D687C">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w:t>
            </w:r>
          </w:p>
        </w:tc>
        <w:tc>
          <w:tcPr>
            <w:tcW w:w="909" w:type="dxa"/>
            <w:shd w:val="clear" w:color="auto" w:fill="FFFFFF"/>
            <w:vAlign w:val="center"/>
          </w:tcPr>
          <w:p w14:paraId="21D51B6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产出质量</w:t>
            </w:r>
          </w:p>
        </w:tc>
        <w:tc>
          <w:tcPr>
            <w:tcW w:w="1701" w:type="dxa"/>
            <w:shd w:val="clear" w:color="auto" w:fill="FFFFFF"/>
            <w:vAlign w:val="center"/>
          </w:tcPr>
          <w:p w14:paraId="1B1E6B3F">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质量达标率</w:t>
            </w:r>
          </w:p>
        </w:tc>
        <w:tc>
          <w:tcPr>
            <w:tcW w:w="1252" w:type="dxa"/>
            <w:shd w:val="clear" w:color="000000" w:fill="FFFFFF"/>
            <w:vAlign w:val="center"/>
          </w:tcPr>
          <w:p w14:paraId="6612A623">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5953" w:type="dxa"/>
            <w:shd w:val="clear" w:color="000000" w:fill="FFFFFF"/>
            <w:vAlign w:val="center"/>
          </w:tcPr>
          <w:p w14:paraId="4CD1D026">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质量达标率=（质量达标产出数/实际产出数）×100%。</w:t>
            </w:r>
          </w:p>
          <w:p w14:paraId="3B94A1F2">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1189" w:type="dxa"/>
            <w:shd w:val="clear" w:color="000000" w:fill="FFFFFF"/>
            <w:vAlign w:val="top"/>
          </w:tcPr>
          <w:p w14:paraId="4B55B482">
            <w:pPr>
              <w:widowControl/>
              <w:spacing w:line="0" w:lineRule="atLeast"/>
              <w:jc w:val="center"/>
              <w:rPr>
                <w:rFonts w:hint="eastAsia" w:ascii="仿宋_GB2312" w:hAnsi="宋体" w:eastAsia="仿宋_GB2312" w:cs="宋体"/>
                <w:color w:val="000000"/>
                <w:kern w:val="0"/>
                <w:sz w:val="24"/>
              </w:rPr>
            </w:pPr>
          </w:p>
          <w:p w14:paraId="6BCF9737">
            <w:pPr>
              <w:widowControl/>
              <w:spacing w:line="0" w:lineRule="atLeast"/>
              <w:jc w:val="center"/>
              <w:rPr>
                <w:rFonts w:hint="eastAsia" w:ascii="仿宋_GB2312" w:hAnsi="宋体" w:eastAsia="仿宋_GB2312" w:cs="宋体"/>
                <w:color w:val="000000"/>
                <w:kern w:val="0"/>
                <w:sz w:val="24"/>
              </w:rPr>
            </w:pPr>
          </w:p>
          <w:p w14:paraId="1EF29F21">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9</w:t>
            </w:r>
          </w:p>
        </w:tc>
      </w:tr>
      <w:tr w14:paraId="73893E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39" w:hRule="atLeast"/>
          <w:jc w:val="center"/>
        </w:trPr>
        <w:tc>
          <w:tcPr>
            <w:tcW w:w="861" w:type="dxa"/>
            <w:vMerge w:val="continue"/>
            <w:shd w:val="clear" w:color="auto" w:fill="FFFFFF"/>
            <w:vAlign w:val="center"/>
          </w:tcPr>
          <w:p w14:paraId="18651379">
            <w:pPr>
              <w:spacing w:line="0" w:lineRule="atLeast"/>
              <w:jc w:val="center"/>
              <w:rPr>
                <w:rFonts w:hint="eastAsia" w:ascii="仿宋_GB2312" w:hAnsi="宋体" w:eastAsia="仿宋_GB2312" w:cs="宋体"/>
                <w:color w:val="000000"/>
                <w:kern w:val="0"/>
                <w:sz w:val="24"/>
              </w:rPr>
            </w:pPr>
          </w:p>
        </w:tc>
        <w:tc>
          <w:tcPr>
            <w:tcW w:w="909" w:type="dxa"/>
            <w:shd w:val="clear" w:color="auto" w:fill="FFFFFF"/>
            <w:vAlign w:val="center"/>
          </w:tcPr>
          <w:p w14:paraId="32AB0DBB">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产出时效</w:t>
            </w:r>
          </w:p>
        </w:tc>
        <w:tc>
          <w:tcPr>
            <w:tcW w:w="1701" w:type="dxa"/>
            <w:shd w:val="clear" w:color="auto" w:fill="FFFFFF"/>
            <w:vAlign w:val="center"/>
          </w:tcPr>
          <w:p w14:paraId="418CAC94">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完成及时性</w:t>
            </w:r>
          </w:p>
        </w:tc>
        <w:tc>
          <w:tcPr>
            <w:tcW w:w="1252" w:type="dxa"/>
            <w:shd w:val="clear" w:color="000000" w:fill="FFFFFF"/>
            <w:vAlign w:val="center"/>
          </w:tcPr>
          <w:p w14:paraId="46FA69E4">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5953" w:type="dxa"/>
            <w:shd w:val="clear" w:color="000000" w:fill="FFFFFF"/>
            <w:vAlign w:val="center"/>
          </w:tcPr>
          <w:p w14:paraId="76A57621">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实际完成时间：项目实施单位完成该项目实际所耗用的时间。</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计划完成时间：按照项目实施计划或相关规定完成该项目所需的时间。</w:t>
            </w:r>
          </w:p>
        </w:tc>
        <w:tc>
          <w:tcPr>
            <w:tcW w:w="1189" w:type="dxa"/>
            <w:shd w:val="clear" w:color="000000" w:fill="FFFFFF"/>
            <w:vAlign w:val="top"/>
          </w:tcPr>
          <w:p w14:paraId="5C32AFE5">
            <w:pPr>
              <w:widowControl/>
              <w:spacing w:line="0" w:lineRule="atLeast"/>
              <w:jc w:val="center"/>
              <w:rPr>
                <w:rFonts w:hint="eastAsia" w:ascii="仿宋_GB2312" w:hAnsi="宋体" w:eastAsia="仿宋_GB2312" w:cs="宋体"/>
                <w:color w:val="000000"/>
                <w:kern w:val="0"/>
                <w:sz w:val="24"/>
              </w:rPr>
            </w:pPr>
          </w:p>
          <w:p w14:paraId="44EB59CC">
            <w:pPr>
              <w:widowControl/>
              <w:spacing w:line="0" w:lineRule="atLeast"/>
              <w:jc w:val="center"/>
              <w:rPr>
                <w:rFonts w:hint="eastAsia" w:ascii="仿宋_GB2312" w:hAnsi="宋体" w:eastAsia="仿宋_GB2312" w:cs="宋体"/>
                <w:color w:val="000000"/>
                <w:kern w:val="0"/>
                <w:sz w:val="24"/>
              </w:rPr>
            </w:pPr>
          </w:p>
          <w:p w14:paraId="40E62F05">
            <w:pPr>
              <w:widowControl/>
              <w:spacing w:line="0" w:lineRule="atLeast"/>
              <w:jc w:val="center"/>
              <w:rPr>
                <w:rFonts w:hint="eastAsia" w:ascii="仿宋_GB2312" w:hAnsi="宋体" w:eastAsia="仿宋_GB2312" w:cs="宋体"/>
                <w:color w:val="000000"/>
                <w:kern w:val="0"/>
                <w:sz w:val="24"/>
                <w:lang w:val="en-US" w:eastAsia="zh-CN"/>
              </w:rPr>
            </w:pPr>
          </w:p>
          <w:p w14:paraId="53321B66">
            <w:pPr>
              <w:widowControl/>
              <w:spacing w:line="0" w:lineRule="atLeast"/>
              <w:jc w:val="center"/>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8</w:t>
            </w:r>
          </w:p>
        </w:tc>
      </w:tr>
      <w:tr w14:paraId="38F6A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7" w:hRule="atLeast"/>
          <w:jc w:val="center"/>
        </w:trPr>
        <w:tc>
          <w:tcPr>
            <w:tcW w:w="861" w:type="dxa"/>
            <w:vMerge w:val="continue"/>
            <w:shd w:val="clear" w:color="auto" w:fill="FFFFFF"/>
            <w:vAlign w:val="center"/>
          </w:tcPr>
          <w:p w14:paraId="2F520AEA">
            <w:pPr>
              <w:widowControl/>
              <w:spacing w:line="0" w:lineRule="atLeast"/>
              <w:jc w:val="center"/>
              <w:rPr>
                <w:rFonts w:hint="eastAsia" w:ascii="仿宋_GB2312" w:hAnsi="宋体" w:eastAsia="仿宋_GB2312" w:cs="宋体"/>
                <w:color w:val="000000"/>
                <w:kern w:val="0"/>
                <w:sz w:val="24"/>
              </w:rPr>
            </w:pPr>
          </w:p>
        </w:tc>
        <w:tc>
          <w:tcPr>
            <w:tcW w:w="909" w:type="dxa"/>
            <w:shd w:val="clear" w:color="auto" w:fill="FFFFFF"/>
            <w:vAlign w:val="center"/>
          </w:tcPr>
          <w:p w14:paraId="6F8F3B81">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产出成本</w:t>
            </w:r>
          </w:p>
        </w:tc>
        <w:tc>
          <w:tcPr>
            <w:tcW w:w="1701" w:type="dxa"/>
            <w:shd w:val="clear" w:color="auto" w:fill="FFFFFF"/>
            <w:vAlign w:val="center"/>
          </w:tcPr>
          <w:p w14:paraId="5E3DE801">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成本节约率</w:t>
            </w:r>
          </w:p>
        </w:tc>
        <w:tc>
          <w:tcPr>
            <w:tcW w:w="1252" w:type="dxa"/>
            <w:shd w:val="clear" w:color="000000" w:fill="FFFFFF"/>
            <w:vAlign w:val="center"/>
          </w:tcPr>
          <w:p w14:paraId="3D0205DA">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w:t>
            </w:r>
          </w:p>
        </w:tc>
        <w:tc>
          <w:tcPr>
            <w:tcW w:w="5953" w:type="dxa"/>
            <w:shd w:val="clear" w:color="000000" w:fill="FFFFFF"/>
            <w:vAlign w:val="center"/>
          </w:tcPr>
          <w:p w14:paraId="18932574">
            <w:pPr>
              <w:widowControl/>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成本节约率=[（计划成本-实际成本）/计划成本]×100%。</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实际成本：项目实施单位如期、保质、保量完成既定工作目标实际所耗费的支出。</w:t>
            </w:r>
            <w:r>
              <w:rPr>
                <w:rFonts w:hint="eastAsia" w:ascii="仿宋_GB2312" w:hAnsi="宋体" w:eastAsia="仿宋_GB2312" w:cs="宋体"/>
                <w:color w:val="000000"/>
                <w:kern w:val="0"/>
                <w:sz w:val="24"/>
              </w:rPr>
              <w:br w:type="textWrapping"/>
            </w:r>
            <w:r>
              <w:rPr>
                <w:rFonts w:hint="eastAsia" w:ascii="仿宋_GB2312" w:hAnsi="宋体" w:eastAsia="仿宋_GB2312" w:cs="宋体"/>
                <w:color w:val="000000"/>
                <w:kern w:val="0"/>
                <w:sz w:val="24"/>
              </w:rPr>
              <w:t>计划成本：项目实施单位为完成工作目标计划安排的支出，一般以项目预算为参考。</w:t>
            </w:r>
          </w:p>
        </w:tc>
        <w:tc>
          <w:tcPr>
            <w:tcW w:w="1189" w:type="dxa"/>
            <w:shd w:val="clear" w:color="000000" w:fill="FFFFFF"/>
            <w:vAlign w:val="top"/>
          </w:tcPr>
          <w:p w14:paraId="6A8A312E">
            <w:pPr>
              <w:widowControl/>
              <w:spacing w:line="0" w:lineRule="atLeast"/>
              <w:jc w:val="center"/>
              <w:rPr>
                <w:rFonts w:hint="eastAsia" w:ascii="仿宋_GB2312" w:hAnsi="宋体" w:eastAsia="仿宋_GB2312" w:cs="宋体"/>
                <w:color w:val="000000"/>
                <w:kern w:val="0"/>
                <w:sz w:val="24"/>
              </w:rPr>
            </w:pPr>
          </w:p>
          <w:p w14:paraId="312A1C96">
            <w:pPr>
              <w:widowControl/>
              <w:spacing w:line="0" w:lineRule="atLeast"/>
              <w:jc w:val="center"/>
              <w:rPr>
                <w:rFonts w:hint="eastAsia" w:ascii="仿宋_GB2312" w:hAnsi="宋体" w:eastAsia="仿宋_GB2312" w:cs="宋体"/>
                <w:color w:val="000000"/>
                <w:kern w:val="0"/>
                <w:sz w:val="24"/>
              </w:rPr>
            </w:pPr>
          </w:p>
          <w:p w14:paraId="5285A7BF">
            <w:pPr>
              <w:widowControl/>
              <w:spacing w:line="0" w:lineRule="atLeast"/>
              <w:jc w:val="center"/>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lang w:val="en-US" w:eastAsia="zh-CN"/>
              </w:rPr>
              <w:t>10</w:t>
            </w:r>
          </w:p>
        </w:tc>
      </w:tr>
      <w:tr w14:paraId="060026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04" w:hRule="atLeast"/>
          <w:jc w:val="center"/>
        </w:trPr>
        <w:tc>
          <w:tcPr>
            <w:tcW w:w="861" w:type="dxa"/>
            <w:shd w:val="clear" w:color="auto" w:fill="FFFFFF"/>
            <w:vAlign w:val="center"/>
          </w:tcPr>
          <w:p w14:paraId="6E6BE10C">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效益　</w:t>
            </w:r>
          </w:p>
        </w:tc>
        <w:tc>
          <w:tcPr>
            <w:tcW w:w="909" w:type="dxa"/>
            <w:shd w:val="clear" w:color="auto" w:fill="FFFFFF"/>
            <w:vAlign w:val="center"/>
          </w:tcPr>
          <w:p w14:paraId="163B6CD9">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项目效益　</w:t>
            </w:r>
          </w:p>
        </w:tc>
        <w:tc>
          <w:tcPr>
            <w:tcW w:w="1701" w:type="dxa"/>
            <w:shd w:val="clear" w:color="auto" w:fill="FFFFFF"/>
            <w:vAlign w:val="center"/>
          </w:tcPr>
          <w:p w14:paraId="16C5529D">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经济效益</w:t>
            </w:r>
          </w:p>
        </w:tc>
        <w:tc>
          <w:tcPr>
            <w:tcW w:w="1252" w:type="dxa"/>
            <w:shd w:val="clear" w:color="auto" w:fill="FFFFFF"/>
            <w:vAlign w:val="center"/>
          </w:tcPr>
          <w:p w14:paraId="4346647F">
            <w:pPr>
              <w:pStyle w:val="4"/>
              <w:jc w:val="center"/>
              <w:rPr>
                <w:rFonts w:hint="eastAsia"/>
                <w:lang w:val="en-US" w:bidi="ar-SA"/>
              </w:rPr>
            </w:pPr>
            <w:r>
              <w:rPr>
                <w:rFonts w:hint="eastAsia"/>
                <w:lang w:val="en-US" w:bidi="ar-SA"/>
              </w:rPr>
              <w:t>20</w:t>
            </w:r>
          </w:p>
        </w:tc>
        <w:tc>
          <w:tcPr>
            <w:tcW w:w="5953" w:type="dxa"/>
            <w:shd w:val="clear" w:color="auto" w:fill="FFFFFF"/>
            <w:vAlign w:val="center"/>
          </w:tcPr>
          <w:p w14:paraId="74A6C3EB">
            <w:pPr>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保障各村专项补贴、自有资金等规范使用与管理。</w:t>
            </w:r>
          </w:p>
        </w:tc>
        <w:tc>
          <w:tcPr>
            <w:tcW w:w="1189" w:type="dxa"/>
            <w:shd w:val="clear" w:color="auto" w:fill="FFFFFF"/>
            <w:vAlign w:val="top"/>
          </w:tcPr>
          <w:p w14:paraId="514DB653">
            <w:pPr>
              <w:spacing w:line="0" w:lineRule="atLeast"/>
              <w:jc w:val="center"/>
              <w:rPr>
                <w:rFonts w:hint="eastAsia" w:ascii="仿宋_GB2312" w:hAnsi="宋体" w:eastAsia="仿宋_GB2312" w:cs="宋体"/>
                <w:color w:val="000000"/>
                <w:kern w:val="0"/>
                <w:sz w:val="24"/>
              </w:rPr>
            </w:pPr>
          </w:p>
          <w:p w14:paraId="4D06528A">
            <w:pPr>
              <w:spacing w:line="0" w:lineRule="atLeast"/>
              <w:jc w:val="center"/>
              <w:rPr>
                <w:rFonts w:hint="eastAsia" w:ascii="仿宋_GB2312" w:hAnsi="宋体" w:eastAsia="仿宋_GB2312" w:cs="宋体"/>
                <w:color w:val="000000"/>
                <w:kern w:val="0"/>
                <w:sz w:val="24"/>
              </w:rPr>
            </w:pPr>
          </w:p>
          <w:p w14:paraId="4C2F81B4">
            <w:pPr>
              <w:spacing w:line="0" w:lineRule="atLeast"/>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1</w:t>
            </w:r>
            <w:r>
              <w:rPr>
                <w:rFonts w:hint="eastAsia" w:ascii="仿宋_GB2312" w:hAnsi="宋体" w:eastAsia="仿宋_GB2312" w:cs="宋体"/>
                <w:color w:val="000000"/>
                <w:kern w:val="0"/>
                <w:sz w:val="24"/>
                <w:lang w:val="en-US" w:eastAsia="zh-CN"/>
              </w:rPr>
              <w:t>7</w:t>
            </w:r>
          </w:p>
        </w:tc>
      </w:tr>
      <w:tr w14:paraId="7A386D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04" w:hRule="atLeast"/>
          <w:jc w:val="center"/>
        </w:trPr>
        <w:tc>
          <w:tcPr>
            <w:tcW w:w="861" w:type="dxa"/>
            <w:shd w:val="clear" w:color="auto" w:fill="FFFFFF"/>
            <w:vAlign w:val="center"/>
          </w:tcPr>
          <w:p w14:paraId="7A5A121A">
            <w:pPr>
              <w:widowControl/>
              <w:spacing w:line="0" w:lineRule="atLeast"/>
              <w:jc w:val="center"/>
              <w:rPr>
                <w:rFonts w:hint="eastAsia" w:ascii="仿宋_GB2312" w:hAnsi="宋体" w:eastAsia="仿宋_GB2312" w:cs="宋体"/>
                <w:color w:val="000000"/>
                <w:kern w:val="0"/>
                <w:sz w:val="24"/>
              </w:rPr>
            </w:pPr>
          </w:p>
        </w:tc>
        <w:tc>
          <w:tcPr>
            <w:tcW w:w="909" w:type="dxa"/>
            <w:shd w:val="clear" w:color="auto" w:fill="FFFFFF"/>
            <w:vAlign w:val="center"/>
          </w:tcPr>
          <w:p w14:paraId="58119E81">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服务对象满意度</w:t>
            </w:r>
          </w:p>
        </w:tc>
        <w:tc>
          <w:tcPr>
            <w:tcW w:w="1701" w:type="dxa"/>
            <w:shd w:val="clear" w:color="auto" w:fill="FFFFFF"/>
            <w:vAlign w:val="center"/>
          </w:tcPr>
          <w:p w14:paraId="4CF7F750">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满意度</w:t>
            </w:r>
          </w:p>
        </w:tc>
        <w:tc>
          <w:tcPr>
            <w:tcW w:w="1252" w:type="dxa"/>
            <w:shd w:val="clear" w:color="auto" w:fill="FFFFFF"/>
            <w:vAlign w:val="center"/>
          </w:tcPr>
          <w:p w14:paraId="78B82248">
            <w:pPr>
              <w:widowControl/>
              <w:spacing w:line="0" w:lineRule="atLeast"/>
              <w:jc w:val="center"/>
              <w:rPr>
                <w:rFonts w:hint="eastAsia" w:ascii="仿宋_GB2312" w:hAnsi="宋体" w:eastAsia="仿宋_GB2312" w:cs="宋体"/>
                <w:color w:val="000000"/>
                <w:kern w:val="0"/>
                <w:sz w:val="24"/>
              </w:rPr>
            </w:pPr>
          </w:p>
          <w:p w14:paraId="3FDCDE76">
            <w:pPr>
              <w:widowControl/>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10</w:t>
            </w:r>
          </w:p>
          <w:p w14:paraId="5D43650B">
            <w:pPr>
              <w:pStyle w:val="4"/>
              <w:jc w:val="center"/>
              <w:rPr>
                <w:rFonts w:hint="eastAsia"/>
                <w:lang w:val="en-US" w:bidi="ar-SA"/>
              </w:rPr>
            </w:pPr>
          </w:p>
        </w:tc>
        <w:tc>
          <w:tcPr>
            <w:tcW w:w="5953" w:type="dxa"/>
            <w:shd w:val="clear" w:color="auto" w:fill="FFFFFF"/>
            <w:vAlign w:val="center"/>
          </w:tcPr>
          <w:p w14:paraId="70B535F1">
            <w:pPr>
              <w:spacing w:line="0" w:lineRule="atLeas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社会公众或服务对象是指因该项目实施而受到影响的部门（单位）、群体或个人。一般采取社会调查的方式。</w:t>
            </w:r>
          </w:p>
        </w:tc>
        <w:tc>
          <w:tcPr>
            <w:tcW w:w="1189" w:type="dxa"/>
            <w:shd w:val="clear" w:color="auto" w:fill="FFFFFF"/>
            <w:vAlign w:val="top"/>
          </w:tcPr>
          <w:p w14:paraId="4BE39A27">
            <w:pPr>
              <w:spacing w:line="0" w:lineRule="atLeast"/>
              <w:jc w:val="center"/>
              <w:rPr>
                <w:rFonts w:hint="eastAsia" w:ascii="仿宋_GB2312" w:hAnsi="宋体" w:eastAsia="仿宋_GB2312" w:cs="宋体"/>
                <w:color w:val="000000"/>
                <w:kern w:val="0"/>
                <w:sz w:val="24"/>
              </w:rPr>
            </w:pPr>
          </w:p>
          <w:p w14:paraId="7B718B65">
            <w:pPr>
              <w:pStyle w:val="4"/>
              <w:ind w:firstLine="320" w:firstLineChars="100"/>
              <w:rPr>
                <w:rFonts w:hint="eastAsia" w:eastAsia="仿宋_GB2312"/>
                <w:lang w:val="en-US" w:eastAsia="zh-CN" w:bidi="ar-SA"/>
              </w:rPr>
            </w:pPr>
            <w:r>
              <w:rPr>
                <w:rFonts w:hint="eastAsia"/>
                <w:lang w:val="en-US" w:eastAsia="zh-CN" w:bidi="ar-SA"/>
              </w:rPr>
              <w:t>8</w:t>
            </w:r>
          </w:p>
        </w:tc>
      </w:tr>
      <w:tr w14:paraId="088A0B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04" w:hRule="atLeast"/>
          <w:jc w:val="center"/>
        </w:trPr>
        <w:tc>
          <w:tcPr>
            <w:tcW w:w="3471" w:type="dxa"/>
            <w:gridSpan w:val="3"/>
            <w:shd w:val="clear" w:color="auto" w:fill="FFFFFF"/>
            <w:vAlign w:val="center"/>
          </w:tcPr>
          <w:p w14:paraId="6BE56EEC">
            <w:pPr>
              <w:spacing w:line="0" w:lineRule="atLeast"/>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252" w:type="dxa"/>
            <w:shd w:val="clear" w:color="auto" w:fill="FFFFFF"/>
            <w:vAlign w:val="center"/>
          </w:tcPr>
          <w:p w14:paraId="7A97D802">
            <w:pPr>
              <w:pStyle w:val="4"/>
              <w:jc w:val="center"/>
              <w:rPr>
                <w:lang w:val="en-US" w:bidi="ar-SA"/>
              </w:rPr>
            </w:pPr>
            <w:r>
              <w:rPr>
                <w:rFonts w:hint="eastAsia"/>
                <w:lang w:val="en-US" w:bidi="ar-SA"/>
              </w:rPr>
              <w:t>100</w:t>
            </w:r>
          </w:p>
        </w:tc>
        <w:tc>
          <w:tcPr>
            <w:tcW w:w="5953" w:type="dxa"/>
            <w:shd w:val="clear" w:color="auto" w:fill="FFFFFF"/>
            <w:vAlign w:val="center"/>
          </w:tcPr>
          <w:p w14:paraId="7FFB22A0">
            <w:pPr>
              <w:spacing w:line="0" w:lineRule="atLeast"/>
              <w:rPr>
                <w:rFonts w:hint="eastAsia" w:ascii="仿宋_GB2312" w:hAnsi="宋体" w:eastAsia="仿宋_GB2312" w:cs="宋体"/>
                <w:color w:val="000000"/>
                <w:kern w:val="0"/>
                <w:sz w:val="24"/>
              </w:rPr>
            </w:pPr>
          </w:p>
        </w:tc>
        <w:tc>
          <w:tcPr>
            <w:tcW w:w="1189" w:type="dxa"/>
            <w:shd w:val="clear" w:color="auto" w:fill="FFFFFF"/>
            <w:vAlign w:val="top"/>
          </w:tcPr>
          <w:p w14:paraId="201EE6AF">
            <w:pPr>
              <w:pStyle w:val="4"/>
              <w:ind w:left="0" w:leftChars="0" w:firstLine="320" w:firstLineChars="100"/>
              <w:jc w:val="both"/>
              <w:rPr>
                <w:rFonts w:hint="eastAsia" w:eastAsia="仿宋_GB2312"/>
                <w:lang w:val="en-US" w:eastAsia="zh-CN" w:bidi="ar-SA"/>
              </w:rPr>
            </w:pPr>
            <w:r>
              <w:rPr>
                <w:rFonts w:hint="eastAsia"/>
                <w:lang w:val="en-US" w:eastAsia="zh-CN" w:bidi="ar-SA"/>
              </w:rPr>
              <w:t>90</w:t>
            </w:r>
          </w:p>
        </w:tc>
      </w:tr>
    </w:tbl>
    <w:p w14:paraId="52E3C2CF">
      <w:pPr>
        <w:spacing w:line="600" w:lineRule="exact"/>
        <w:rPr>
          <w:rFonts w:hint="eastAsia" w:ascii="仿宋_GB2312" w:eastAsia="仿宋_GB2312"/>
          <w:bCs/>
          <w:sz w:val="32"/>
          <w:szCs w:val="32"/>
        </w:rPr>
        <w:sectPr>
          <w:pgSz w:w="16838" w:h="11906" w:orient="landscape"/>
          <w:pgMar w:top="1871" w:right="1474" w:bottom="1644" w:left="1531" w:header="737" w:footer="851" w:gutter="0"/>
          <w:pgNumType w:fmt="numberInDash"/>
          <w:cols w:space="720" w:num="1"/>
          <w:docGrid w:type="lines" w:linePitch="408" w:charSpace="0"/>
        </w:sectPr>
      </w:pPr>
    </w:p>
    <w:p w14:paraId="3F428604">
      <w:pPr>
        <w:tabs>
          <w:tab w:val="left" w:pos="1296"/>
        </w:tabs>
        <w:jc w:val="left"/>
        <w:rPr>
          <w:lang w:val="en-US" w:eastAsia="zh-CN"/>
        </w:rPr>
      </w:pPr>
    </w:p>
    <w:sectPr>
      <w:footerReference r:id="rId4" w:type="default"/>
      <w:footerReference r:id="rId5"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7A15B3-B3DB-4AB7-B715-C563F0A3B5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altName w:val="Segoe Print"/>
    <w:panose1 w:val="02040503050406030204"/>
    <w:charset w:val="00"/>
    <w:family w:val="roman"/>
    <w:pitch w:val="default"/>
    <w:sig w:usb0="00000000" w:usb1="00000000"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2" w:fontKey="{F128B0F8-CFC2-4F60-85D4-0E938349C199}"/>
  </w:font>
  <w:font w:name="仿宋">
    <w:panose1 w:val="02010609060101010101"/>
    <w:charset w:val="86"/>
    <w:family w:val="modern"/>
    <w:pitch w:val="default"/>
    <w:sig w:usb0="800002BF" w:usb1="38CF7CFA" w:usb2="00000016" w:usb3="00000000" w:csb0="00040001" w:csb1="00000000"/>
    <w:embedRegular r:id="rId3" w:fontKey="{F9CCF3E5-660B-45E2-9DFC-BF3EF89B08DF}"/>
  </w:font>
  <w:font w:name="Tahoma">
    <w:panose1 w:val="020B0604030504040204"/>
    <w:charset w:val="00"/>
    <w:family w:val="swiss"/>
    <w:pitch w:val="default"/>
    <w:sig w:usb0="E1002EFF" w:usb1="C000605B" w:usb2="00000029" w:usb3="00000000" w:csb0="200101FF" w:csb1="20280000"/>
  </w:font>
  <w:font w:name="Droid Sans">
    <w:altName w:val="微软雅黑"/>
    <w:panose1 w:val="00000000000000000000"/>
    <w:charset w:val="00"/>
    <w:family w:val="auto"/>
    <w:pitch w:val="default"/>
    <w:sig w:usb0="00000000" w:usb1="00000000" w:usb2="00000000" w:usb3="00000000" w:csb0="00040001" w:csb1="00000000"/>
    <w:embedRegular r:id="rId4" w:fontKey="{1CA94CF5-C399-459B-B045-31CE22DACF90}"/>
  </w:font>
  <w:font w:name="微软雅黑">
    <w:panose1 w:val="020B0503020204020204"/>
    <w:charset w:val="86"/>
    <w:family w:val="auto"/>
    <w:pitch w:val="default"/>
    <w:sig w:usb0="80000287" w:usb1="2ACF3C50" w:usb2="00000016" w:usb3="00000000" w:csb0="0004001F" w:csb1="00000000"/>
  </w:font>
  <w:font w:name="方正黑体_GBK">
    <w:panose1 w:val="02010600010101010101"/>
    <w:charset w:val="86"/>
    <w:family w:val="auto"/>
    <w:pitch w:val="default"/>
    <w:sig w:usb0="00000001" w:usb1="080E0000" w:usb2="00000000" w:usb3="00000000" w:csb0="00040000" w:csb1="00000000"/>
    <w:embedRegular r:id="rId5" w:fontKey="{56883A9E-9C74-4660-9F24-A898E087878E}"/>
  </w:font>
  <w:font w:name="方正小标宋简体">
    <w:panose1 w:val="02010600010101010101"/>
    <w:charset w:val="86"/>
    <w:family w:val="auto"/>
    <w:pitch w:val="default"/>
    <w:sig w:usb0="00000001" w:usb1="080E0000" w:usb2="00000000" w:usb3="00000000" w:csb0="00040000" w:csb1="00000000"/>
    <w:embedRegular r:id="rId6" w:fontKey="{7E870C67-EAFD-4345-822A-16EF91F787D3}"/>
  </w:font>
  <w:font w:name="楷体_GB2312">
    <w:altName w:val="楷体"/>
    <w:panose1 w:val="02010609030101010101"/>
    <w:charset w:val="86"/>
    <w:family w:val="modern"/>
    <w:pitch w:val="default"/>
    <w:sig w:usb0="00000000" w:usb1="00000000" w:usb2="00000000" w:usb3="00000000" w:csb0="00040000" w:csb1="00000000"/>
    <w:embedRegular r:id="rId7" w:fontKey="{654E852F-EE95-4474-81D2-BF1A69BE35C3}"/>
  </w:font>
  <w:font w:name="楷体">
    <w:panose1 w:val="02010609060101010101"/>
    <w:charset w:val="86"/>
    <w:family w:val="auto"/>
    <w:pitch w:val="default"/>
    <w:sig w:usb0="800002BF" w:usb1="38CF7CFA" w:usb2="00000016" w:usb3="00000000" w:csb0="00040001" w:csb1="00000000"/>
  </w:font>
  <w:font w:name="___WRD_EMBED_SUB_39">
    <w:altName w:val="宋体"/>
    <w:panose1 w:val="02010609030101010101"/>
    <w:charset w:val="86"/>
    <w:family w:val="modern"/>
    <w:pitch w:val="default"/>
    <w:sig w:usb0="00000000" w:usb1="00000000" w:usb2="00000000" w:usb3="00000000" w:csb0="00040000" w:csb1="00000000"/>
    <w:embedRegular r:id="rId8" w:fontKey="{08A747C5-4C68-4C47-81C1-BA64F4180BDC}"/>
  </w:font>
  <w:font w:name="KSOFE450088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BDBC5">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3</w:t>
    </w:r>
    <w:r>
      <w:fldChar w:fldCharType="end"/>
    </w:r>
  </w:p>
  <w:p w14:paraId="6516F75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DA5A6">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14:paraId="54736860">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DE6EB">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15</w:t>
    </w:r>
    <w:r>
      <w:fldChar w:fldCharType="end"/>
    </w:r>
  </w:p>
  <w:p w14:paraId="598A4049">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E84BE"/>
    <w:multiLevelType w:val="singleLevel"/>
    <w:tmpl w:val="8D7E84BE"/>
    <w:lvl w:ilvl="0" w:tentative="0">
      <w:start w:val="1"/>
      <w:numFmt w:val="chineseCounting"/>
      <w:suff w:val="nothing"/>
      <w:lvlText w:val="%1、"/>
      <w:lvlJc w:val="left"/>
      <w:rPr>
        <w:rFonts w:hint="eastAsia"/>
      </w:rPr>
    </w:lvl>
  </w:abstractNum>
  <w:abstractNum w:abstractNumId="1">
    <w:nsid w:val="9A20A29B"/>
    <w:multiLevelType w:val="singleLevel"/>
    <w:tmpl w:val="9A20A29B"/>
    <w:lvl w:ilvl="0" w:tentative="0">
      <w:start w:val="2"/>
      <w:numFmt w:val="chineseCounting"/>
      <w:suff w:val="nothing"/>
      <w:lvlText w:val="（%1）"/>
      <w:lvlJc w:val="left"/>
      <w:rPr>
        <w:rFonts w:hint="eastAsia"/>
      </w:rPr>
    </w:lvl>
  </w:abstractNum>
  <w:abstractNum w:abstractNumId="2">
    <w:nsid w:val="A9C26420"/>
    <w:multiLevelType w:val="singleLevel"/>
    <w:tmpl w:val="A9C26420"/>
    <w:lvl w:ilvl="0" w:tentative="0">
      <w:start w:val="2"/>
      <w:numFmt w:val="decimal"/>
      <w:suff w:val="nothing"/>
      <w:lvlText w:val="（%1）"/>
      <w:lvlJc w:val="left"/>
      <w:pPr>
        <w:ind w:left="150" w:firstLine="0"/>
      </w:pPr>
    </w:lvl>
  </w:abstractNum>
  <w:abstractNum w:abstractNumId="3">
    <w:nsid w:val="DD8AE35D"/>
    <w:multiLevelType w:val="singleLevel"/>
    <w:tmpl w:val="DD8AE35D"/>
    <w:lvl w:ilvl="0" w:tentative="0">
      <w:start w:val="6"/>
      <w:numFmt w:val="chineseCounting"/>
      <w:suff w:val="nothing"/>
      <w:lvlText w:val="%1、"/>
      <w:lvlJc w:val="left"/>
      <w:rPr>
        <w:rFonts w:hint="eastAsia"/>
      </w:rPr>
    </w:lvl>
  </w:abstractNum>
  <w:abstractNum w:abstractNumId="4">
    <w:nsid w:val="5EBC755D"/>
    <w:multiLevelType w:val="singleLevel"/>
    <w:tmpl w:val="5EBC755D"/>
    <w:lvl w:ilvl="0" w:tentative="0">
      <w:start w:val="4"/>
      <w:numFmt w:val="chineseCounting"/>
      <w:suff w:val="nothing"/>
      <w:lvlText w:val="%1、"/>
      <w:lvlJc w:val="left"/>
      <w:rPr>
        <w:rFonts w:hint="eastAsia"/>
      </w:rPr>
    </w:lvl>
  </w:abstractNum>
  <w:abstractNum w:abstractNumId="5">
    <w:nsid w:val="661D0353"/>
    <w:multiLevelType w:val="singleLevel"/>
    <w:tmpl w:val="661D0353"/>
    <w:lvl w:ilvl="0" w:tentative="0">
      <w:start w:val="2"/>
      <w:numFmt w:val="chineseCounting"/>
      <w:suff w:val="nothing"/>
      <w:lvlText w:val="（%1）"/>
      <w:lvlJc w:val="left"/>
      <w:rPr>
        <w:rFonts w:hint="eastAsia"/>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NWE4NzRhMTczNjJlZDE5ZTE5YTczN2QxMzcyMjAifQ=="/>
  </w:docVars>
  <w:rsids>
    <w:rsidRoot w:val="00100246"/>
    <w:rsid w:val="00003B03"/>
    <w:rsid w:val="000040E6"/>
    <w:rsid w:val="00011D72"/>
    <w:rsid w:val="00027CD5"/>
    <w:rsid w:val="00031B8E"/>
    <w:rsid w:val="00033EC1"/>
    <w:rsid w:val="00034224"/>
    <w:rsid w:val="00040275"/>
    <w:rsid w:val="0004719C"/>
    <w:rsid w:val="00047F6E"/>
    <w:rsid w:val="00051B00"/>
    <w:rsid w:val="000601B1"/>
    <w:rsid w:val="00063034"/>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1B61"/>
    <w:rsid w:val="000D6854"/>
    <w:rsid w:val="000E0B26"/>
    <w:rsid w:val="000E3291"/>
    <w:rsid w:val="000F08FE"/>
    <w:rsid w:val="000F208B"/>
    <w:rsid w:val="000F2A48"/>
    <w:rsid w:val="000F49BE"/>
    <w:rsid w:val="00100246"/>
    <w:rsid w:val="0010682D"/>
    <w:rsid w:val="001073C6"/>
    <w:rsid w:val="00107DB5"/>
    <w:rsid w:val="00113613"/>
    <w:rsid w:val="0011483D"/>
    <w:rsid w:val="00115724"/>
    <w:rsid w:val="00130995"/>
    <w:rsid w:val="00131FF9"/>
    <w:rsid w:val="00132320"/>
    <w:rsid w:val="00135B6A"/>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69BF"/>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267A6"/>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0C8B"/>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05701"/>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1D09"/>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81E1A"/>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1827"/>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E4722"/>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6EE1"/>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75C"/>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27892"/>
    <w:rsid w:val="009319B9"/>
    <w:rsid w:val="009351E9"/>
    <w:rsid w:val="00937862"/>
    <w:rsid w:val="00942279"/>
    <w:rsid w:val="009524EB"/>
    <w:rsid w:val="00962013"/>
    <w:rsid w:val="00963942"/>
    <w:rsid w:val="0096716C"/>
    <w:rsid w:val="009672B2"/>
    <w:rsid w:val="00971C66"/>
    <w:rsid w:val="00972363"/>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13B5"/>
    <w:rsid w:val="00A429CB"/>
    <w:rsid w:val="00A44E87"/>
    <w:rsid w:val="00A5063C"/>
    <w:rsid w:val="00A52749"/>
    <w:rsid w:val="00A5422E"/>
    <w:rsid w:val="00A56EC1"/>
    <w:rsid w:val="00A6350C"/>
    <w:rsid w:val="00A6370B"/>
    <w:rsid w:val="00A63A73"/>
    <w:rsid w:val="00A6655C"/>
    <w:rsid w:val="00A66CBB"/>
    <w:rsid w:val="00A6704E"/>
    <w:rsid w:val="00A67EA4"/>
    <w:rsid w:val="00A773FF"/>
    <w:rsid w:val="00A83AA1"/>
    <w:rsid w:val="00A906F4"/>
    <w:rsid w:val="00A9343A"/>
    <w:rsid w:val="00A9706C"/>
    <w:rsid w:val="00A97B34"/>
    <w:rsid w:val="00AA1B5C"/>
    <w:rsid w:val="00AA7A27"/>
    <w:rsid w:val="00AB3FB0"/>
    <w:rsid w:val="00AB465D"/>
    <w:rsid w:val="00AB713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0ABA"/>
    <w:rsid w:val="00B859FF"/>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E6B7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43AB"/>
    <w:rsid w:val="00E26641"/>
    <w:rsid w:val="00E2778F"/>
    <w:rsid w:val="00E278B0"/>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17"/>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1762"/>
    <w:rsid w:val="00F345D3"/>
    <w:rsid w:val="00F356ED"/>
    <w:rsid w:val="00F359B5"/>
    <w:rsid w:val="00F4144F"/>
    <w:rsid w:val="00F433F3"/>
    <w:rsid w:val="00F47F64"/>
    <w:rsid w:val="00F522D9"/>
    <w:rsid w:val="00F52F54"/>
    <w:rsid w:val="00F53584"/>
    <w:rsid w:val="00F61B24"/>
    <w:rsid w:val="00F62DE5"/>
    <w:rsid w:val="00F63F8A"/>
    <w:rsid w:val="00F6514E"/>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1156110"/>
    <w:rsid w:val="02F120AB"/>
    <w:rsid w:val="032B5196"/>
    <w:rsid w:val="04C3537C"/>
    <w:rsid w:val="079004AC"/>
    <w:rsid w:val="090C4D0F"/>
    <w:rsid w:val="0B9C0CAB"/>
    <w:rsid w:val="0BA148CA"/>
    <w:rsid w:val="0C1165C4"/>
    <w:rsid w:val="0D6D544B"/>
    <w:rsid w:val="0DD136FE"/>
    <w:rsid w:val="0F8E2C57"/>
    <w:rsid w:val="0FA51918"/>
    <w:rsid w:val="1059665E"/>
    <w:rsid w:val="10AC13BA"/>
    <w:rsid w:val="13755B49"/>
    <w:rsid w:val="145A6C1B"/>
    <w:rsid w:val="14B73493"/>
    <w:rsid w:val="14CA08D1"/>
    <w:rsid w:val="15F630D7"/>
    <w:rsid w:val="167A2FF9"/>
    <w:rsid w:val="17C92325"/>
    <w:rsid w:val="17E05399"/>
    <w:rsid w:val="18581C69"/>
    <w:rsid w:val="186D28E5"/>
    <w:rsid w:val="1A7C07D5"/>
    <w:rsid w:val="1AEC0734"/>
    <w:rsid w:val="1DEF20B0"/>
    <w:rsid w:val="1E2A6383"/>
    <w:rsid w:val="214243FA"/>
    <w:rsid w:val="21AD613C"/>
    <w:rsid w:val="22467189"/>
    <w:rsid w:val="22502FBC"/>
    <w:rsid w:val="257A14F5"/>
    <w:rsid w:val="27196C26"/>
    <w:rsid w:val="29EF086F"/>
    <w:rsid w:val="2A014A0F"/>
    <w:rsid w:val="2E193540"/>
    <w:rsid w:val="2EFFE297"/>
    <w:rsid w:val="301437CA"/>
    <w:rsid w:val="304078F6"/>
    <w:rsid w:val="31B574DF"/>
    <w:rsid w:val="31E00317"/>
    <w:rsid w:val="32791381"/>
    <w:rsid w:val="349D1F0A"/>
    <w:rsid w:val="34DD0473"/>
    <w:rsid w:val="36091E68"/>
    <w:rsid w:val="360F41AB"/>
    <w:rsid w:val="37500075"/>
    <w:rsid w:val="39190CC7"/>
    <w:rsid w:val="3B4C26FF"/>
    <w:rsid w:val="3C181CA7"/>
    <w:rsid w:val="3C684897"/>
    <w:rsid w:val="3DCA52B0"/>
    <w:rsid w:val="3E0E258E"/>
    <w:rsid w:val="42F51847"/>
    <w:rsid w:val="433E495C"/>
    <w:rsid w:val="446662D5"/>
    <w:rsid w:val="473077EA"/>
    <w:rsid w:val="489F2FD7"/>
    <w:rsid w:val="49D31607"/>
    <w:rsid w:val="4AC27CB3"/>
    <w:rsid w:val="4BF72BEF"/>
    <w:rsid w:val="4ECC6E2B"/>
    <w:rsid w:val="4FA90297"/>
    <w:rsid w:val="4FC41A43"/>
    <w:rsid w:val="51801225"/>
    <w:rsid w:val="51DB3C59"/>
    <w:rsid w:val="532A0A2A"/>
    <w:rsid w:val="550C0952"/>
    <w:rsid w:val="554341E0"/>
    <w:rsid w:val="55762E42"/>
    <w:rsid w:val="57A7B272"/>
    <w:rsid w:val="58470068"/>
    <w:rsid w:val="58747CAC"/>
    <w:rsid w:val="59D801B1"/>
    <w:rsid w:val="5A1720F9"/>
    <w:rsid w:val="5B9C37C2"/>
    <w:rsid w:val="5BA7C654"/>
    <w:rsid w:val="5F2E7436"/>
    <w:rsid w:val="60A54109"/>
    <w:rsid w:val="612C6DE9"/>
    <w:rsid w:val="61D01CDF"/>
    <w:rsid w:val="636D36B0"/>
    <w:rsid w:val="636E0708"/>
    <w:rsid w:val="64C0607C"/>
    <w:rsid w:val="65756C86"/>
    <w:rsid w:val="674D385B"/>
    <w:rsid w:val="676F09E1"/>
    <w:rsid w:val="67AB403C"/>
    <w:rsid w:val="6E410283"/>
    <w:rsid w:val="6FF805E1"/>
    <w:rsid w:val="71793A80"/>
    <w:rsid w:val="7357290B"/>
    <w:rsid w:val="736F311D"/>
    <w:rsid w:val="73E80977"/>
    <w:rsid w:val="75714D0A"/>
    <w:rsid w:val="76971C3E"/>
    <w:rsid w:val="798524E4"/>
    <w:rsid w:val="7A7F1C49"/>
    <w:rsid w:val="7B5B7AE6"/>
    <w:rsid w:val="7B7B6628"/>
    <w:rsid w:val="7BA7071E"/>
    <w:rsid w:val="7BDF6DA8"/>
    <w:rsid w:val="7BDF7589"/>
    <w:rsid w:val="7C7EDC1A"/>
    <w:rsid w:val="7CCED98D"/>
    <w:rsid w:val="7D08410F"/>
    <w:rsid w:val="7D2759BE"/>
    <w:rsid w:val="7DA938E7"/>
    <w:rsid w:val="7DB96DED"/>
    <w:rsid w:val="7DD3AD81"/>
    <w:rsid w:val="7F7FE70F"/>
    <w:rsid w:val="7FFF772F"/>
    <w:rsid w:val="95F35EF6"/>
    <w:rsid w:val="9BFFD860"/>
    <w:rsid w:val="AC5F73DE"/>
    <w:rsid w:val="B5DDD2C8"/>
    <w:rsid w:val="B9DFABD9"/>
    <w:rsid w:val="BC0D83FC"/>
    <w:rsid w:val="BF3BDEFB"/>
    <w:rsid w:val="C75F6086"/>
    <w:rsid w:val="C7F7ED2D"/>
    <w:rsid w:val="CFAF854E"/>
    <w:rsid w:val="D8D7928E"/>
    <w:rsid w:val="D8FE3136"/>
    <w:rsid w:val="DDDE60B7"/>
    <w:rsid w:val="DE9F6A22"/>
    <w:rsid w:val="DF4FCE6A"/>
    <w:rsid w:val="E4FED278"/>
    <w:rsid w:val="EDAA365C"/>
    <w:rsid w:val="EDADFC12"/>
    <w:rsid w:val="F2FD229B"/>
    <w:rsid w:val="F7F709E9"/>
    <w:rsid w:val="F7FF3690"/>
    <w:rsid w:val="F9BD3900"/>
    <w:rsid w:val="FC8B9876"/>
    <w:rsid w:val="FEDFF218"/>
    <w:rsid w:val="FEDFF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100" w:beforeAutospacing="1" w:after="100" w:afterAutospacing="1"/>
      <w:outlineLvl w:val="1"/>
    </w:pPr>
    <w:rPr>
      <w:rFonts w:ascii="Cambria" w:hAnsi="Cambria" w:eastAsia="黑体"/>
      <w:b/>
      <w:bCs/>
      <w:kern w:val="0"/>
      <w:sz w:val="36"/>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200" w:firstLineChars="200"/>
    </w:pPr>
  </w:style>
  <w:style w:type="paragraph" w:styleId="4">
    <w:name w:val="Body Text"/>
    <w:basedOn w:val="1"/>
    <w:qFormat/>
    <w:uiPriority w:val="1"/>
    <w:pPr>
      <w:ind w:left="109"/>
    </w:pPr>
    <w:rPr>
      <w:rFonts w:ascii="仿宋_GB2312" w:hAnsi="仿宋_GB2312" w:eastAsia="仿宋_GB2312" w:cs="仿宋_GB2312"/>
      <w:sz w:val="32"/>
      <w:szCs w:val="32"/>
      <w:lang w:val="zh-CN" w:bidi="zh-CN"/>
    </w:rPr>
  </w:style>
  <w:style w:type="paragraph" w:styleId="5">
    <w:name w:val="Body Text Indent"/>
    <w:basedOn w:val="1"/>
    <w:qFormat/>
    <w:uiPriority w:val="0"/>
    <w:pPr>
      <w:ind w:firstLine="645"/>
    </w:pPr>
    <w:rPr>
      <w:rFonts w:ascii="仿宋_GB2312" w:hAnsi="Calibri" w:eastAsia="仿宋_GB2312"/>
      <w:sz w:val="32"/>
      <w:szCs w:val="32"/>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5"/>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0">
    <w:name w:val="Normal (Web)"/>
    <w:basedOn w:val="1"/>
    <w:unhideWhenUsed/>
    <w:qFormat/>
    <w:uiPriority w:val="0"/>
    <w:pPr>
      <w:spacing w:before="100" w:beforeAutospacing="1" w:after="100" w:afterAutospacing="1"/>
      <w:ind w:right="238"/>
      <w:jc w:val="left"/>
    </w:pPr>
    <w:rPr>
      <w:b/>
      <w:kern w:val="0"/>
      <w:sz w:val="24"/>
      <w:szCs w:val="20"/>
    </w:rPr>
  </w:style>
  <w:style w:type="character" w:styleId="13">
    <w:name w:val="Strong"/>
    <w:qFormat/>
    <w:uiPriority w:val="0"/>
    <w:rPr>
      <w:b/>
    </w:rPr>
  </w:style>
  <w:style w:type="character" w:styleId="14">
    <w:name w:val="page number"/>
    <w:qFormat/>
    <w:uiPriority w:val="0"/>
  </w:style>
  <w:style w:type="character" w:customStyle="1" w:styleId="15">
    <w:name w:val="页脚 Char"/>
    <w:link w:val="8"/>
    <w:qFormat/>
    <w:uiPriority w:val="0"/>
    <w:rPr>
      <w:rFonts w:eastAsia="宋体"/>
      <w:kern w:val="2"/>
      <w:sz w:val="18"/>
      <w:szCs w:val="18"/>
      <w:lang w:val="en-US" w:eastAsia="zh-CN" w:bidi="ar-SA"/>
    </w:rPr>
  </w:style>
  <w:style w:type="character" w:customStyle="1" w:styleId="16">
    <w:name w:val="页眉 Char"/>
    <w:link w:val="9"/>
    <w:qFormat/>
    <w:uiPriority w:val="0"/>
    <w:rPr>
      <w:rFonts w:ascii="Calibri" w:hAnsi="Calibri" w:eastAsia="宋体"/>
      <w:kern w:val="2"/>
      <w:sz w:val="18"/>
      <w:szCs w:val="18"/>
      <w:lang w:val="en-US" w:eastAsia="zh-CN" w:bidi="ar-SA"/>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w:basedOn w:val="1"/>
    <w:qFormat/>
    <w:uiPriority w:val="0"/>
    <w:rPr>
      <w:rFonts w:ascii="Tahoma" w:hAnsi="Tahoma"/>
      <w:sz w:val="24"/>
      <w:szCs w:val="20"/>
    </w:rPr>
  </w:style>
  <w:style w:type="paragraph" w:customStyle="1" w:styleId="20">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Sheet1!$B$1</c:f>
              <c:strCache>
                <c:ptCount val="1"/>
                <c:pt idx="0">
                  <c:v>收入</c:v>
                </c:pt>
              </c:strCache>
            </c:strRef>
          </c:tx>
          <c:explosion val="0"/>
          <c:dPt>
            <c:idx val="0"/>
            <c:bubble3D val="0"/>
          </c:dPt>
          <c:dPt>
            <c:idx val="1"/>
            <c:bubble3D val="0"/>
          </c:dPt>
          <c:dPt>
            <c:idx val="2"/>
            <c:bubble3D val="0"/>
          </c:dPt>
          <c:dPt>
            <c:idx val="3"/>
            <c:bubble3D val="0"/>
          </c:dPt>
          <c:dPt>
            <c:idx val="4"/>
            <c:bubble3D val="0"/>
          </c:dPt>
          <c:dPt>
            <c:idx val="5"/>
            <c:bubble3D val="0"/>
          </c:dPt>
          <c:dLbls>
            <c:dLbl>
              <c:idx val="1"/>
              <c:delete val="1"/>
            </c:dLbl>
            <c:dLbl>
              <c:idx val="2"/>
              <c:delete val="1"/>
            </c:dLbl>
            <c:dLbl>
              <c:idx val="3"/>
              <c:delete val="1"/>
            </c:dLbl>
            <c:dLbl>
              <c:idx val="4"/>
              <c:delete val="1"/>
            </c:dLbl>
            <c:dLbl>
              <c:idx val="5"/>
              <c:delete val="1"/>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Sheet1!$A$2:$A$7</c:f>
              <c:strCache>
                <c:ptCount val="6"/>
                <c:pt idx="0">
                  <c:v>财政拨款收入</c:v>
                </c:pt>
                <c:pt idx="1">
                  <c:v>上级补助收入</c:v>
                </c:pt>
                <c:pt idx="2">
                  <c:v>事业收入</c:v>
                </c:pt>
                <c:pt idx="3">
                  <c:v>经营收入</c:v>
                </c:pt>
                <c:pt idx="4">
                  <c:v>附属单位上缴</c:v>
                </c:pt>
                <c:pt idx="5">
                  <c:v>其他收入</c:v>
                </c:pt>
              </c:strCache>
            </c:strRef>
          </c:cat>
          <c:val>
            <c:numRef>
              <c:f>Sheet1!$B$2:$B$7</c:f>
              <c:numCache>
                <c:formatCode>General</c:formatCode>
                <c:ptCount val="6"/>
                <c:pt idx="0">
                  <c:v>23752.68</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8140549-95d4-4717-9ce7-eb58311e7660}"/>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Sheet0!$B$1</c:f>
              <c:strCache>
                <c:ptCount val="1"/>
                <c:pt idx="0">
                  <c:v>支出</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dLbl>
              <c:idx val="2"/>
              <c:layout>
                <c:manualLayout>
                  <c:x val="-0.03900372940115"/>
                  <c:y val="0.032827143610787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389887693586102"/>
                  <c:y val="0.01051122951006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Sheet0!$A$2:$A$6</c:f>
              <c:strCache>
                <c:ptCount val="5"/>
                <c:pt idx="0">
                  <c:v>基本支出</c:v>
                </c:pt>
                <c:pt idx="1">
                  <c:v>项目支出</c:v>
                </c:pt>
                <c:pt idx="2">
                  <c:v>上缴上级支出</c:v>
                </c:pt>
                <c:pt idx="3">
                  <c:v>经营支出</c:v>
                </c:pt>
                <c:pt idx="4">
                  <c:v>对附属单位补助支出</c:v>
                </c:pt>
              </c:strCache>
            </c:strRef>
          </c:cat>
          <c:val>
            <c:numRef>
              <c:f>Sheet0!$B$2:$B$6</c:f>
              <c:numCache>
                <c:formatCode>General</c:formatCode>
                <c:ptCount val="5"/>
                <c:pt idx="0">
                  <c:v>3372.66</c:v>
                </c:pt>
                <c:pt idx="1">
                  <c:v>20432.88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2ea95dd-0ae2-4fd2-9e85-564dbdc6ce8b}"/>
      </c:ext>
    </c:extLst>
  </c:chart>
  <c:spPr>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3758</Words>
  <Characters>4510</Characters>
  <Lines>44</Lines>
  <Paragraphs>12</Paragraphs>
  <TotalTime>4</TotalTime>
  <ScaleCrop>false</ScaleCrop>
  <LinksUpToDate>false</LinksUpToDate>
  <CharactersWithSpaces>4530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2017-07-11T15:16:00Z</dcterms:created>
  <dc:creator>常程</dc:creator>
  <cp:lastModifiedBy>Coca Cola</cp:lastModifiedBy>
  <cp:lastPrinted>2020-08-07T11:39:00Z</cp:lastPrinted>
  <dcterms:modified xsi:type="dcterms:W3CDTF">2026-09-08T02:20:26Z</dcterms:modified>
  <dc:title>北京市财政局关于做好向市人大常委会报送2015年度市级部门决算（草案）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435078ACFECC4A5A8A519EF4C3681114_13</vt:lpwstr>
  </property>
  <property fmtid="{D5CDD505-2E9C-101B-9397-08002B2CF9AE}" pid="4" name="KSOTemplateDocerSaveRecord">
    <vt:lpwstr>eyJoZGlkIjoiODY4OTc2ZTNkYTY5OTRjYWY4ZWFiMzBhNjYzZjcxOTEiLCJ1c2VySWQiOiI0Mzc3MTgzNDAifQ==</vt:lpwstr>
  </property>
</Properties>
</file>