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B3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北京市密云区高岭镇人民政府</w:t>
      </w:r>
    </w:p>
    <w:p w14:paraId="51A56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关于2025年财政决算(草案)的报告</w:t>
      </w:r>
    </w:p>
    <w:p w14:paraId="2D3CC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——2026年8月26日</w:t>
      </w:r>
    </w:p>
    <w:p w14:paraId="02A27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在高岭镇第二届人民代表大会第十二次会议上</w:t>
      </w:r>
    </w:p>
    <w:p w14:paraId="6FB7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财政科  付鑫丽</w:t>
      </w:r>
    </w:p>
    <w:p w14:paraId="66363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5321C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各位代表：</w:t>
      </w:r>
    </w:p>
    <w:p w14:paraId="6329A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2025年高岭镇财政决算草案已汇编完成，按照《预算法》《预算法实施条例》《北京市密云区预算审查监督办法》等法律法规规定，我受镇政府委托，报告高岭镇2025年财政决算情况，请予审议。</w:t>
      </w:r>
    </w:p>
    <w:p w14:paraId="308D6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一、2025年财政决算情况</w:t>
      </w:r>
    </w:p>
    <w:p w14:paraId="3D09F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2025年，全镇上下坚持以习近平新时代中国特色社会主义思想为指导，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以习近平新时代中国特色社会主义思想为指导，全面贯彻党的二十大和二十届历次全会、中央经济工作会议、全国财政工作会议及市、区会议精神,在镇党委的坚强领导下，在镇人大的监督支持下，坚持稳中求进的工作总基调，担当尽责，落实更加积极的财政政策，为保持镇域经济社会稳定发展提供了坚实的财力保障。</w:t>
      </w:r>
    </w:p>
    <w:p w14:paraId="0F4B2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在2026年2月9日高岭镇第二届人民代表大会第十一次会议上，我们已经报告了2025年镇级各项收支预算的执行情况，最终决算情况与预算执行情况一致。具体决算情况如下：</w:t>
      </w:r>
    </w:p>
    <w:p w14:paraId="4F4AC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（一）2025年一般公共预算收入决算情况</w:t>
      </w:r>
    </w:p>
    <w:p w14:paraId="77AEA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完成财政收入9252.25万元，同比增长389.1%。其中，税收收入8848.9万元，占我镇财政收入的95.64%；非税收入403.35万元，占我镇财政收入的4.36%。区对镇一般转移支付资金4022万元；区级下达专项资金8297.58万元；财源建设奖励等其他结算事项3957.39万元；上年结转10万元，合计预算总收入25539.22万元。</w:t>
      </w:r>
    </w:p>
    <w:p w14:paraId="57B06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（二）2025年一般公共预算支出决算情况</w:t>
      </w:r>
    </w:p>
    <w:p w14:paraId="7BB1F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我镇一般公共预算支出22715.29万元，上解支出305.1万元（农村低保镇负担30%部分上解305.1万元），债券还本支出1457.36万元，结转下年使用1061.47万元，合计预算支出25539.22万元，主要支出功能科目分类如下：</w:t>
      </w:r>
    </w:p>
    <w:p w14:paraId="0A37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1.一般公共服务支出12744.52万元</w:t>
      </w:r>
    </w:p>
    <w:p w14:paraId="5145E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2.文化旅游体育与传媒支出580.53万元</w:t>
      </w:r>
    </w:p>
    <w:p w14:paraId="2794E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3.社会保障和就业支出841.21万元</w:t>
      </w:r>
    </w:p>
    <w:p w14:paraId="64E5C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4.卫生健康支出273.15万元</w:t>
      </w:r>
    </w:p>
    <w:p w14:paraId="25C38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5.节能环保支出283.19万元</w:t>
      </w:r>
    </w:p>
    <w:p w14:paraId="000A9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6.城乡社区支出271.33万元</w:t>
      </w:r>
    </w:p>
    <w:p w14:paraId="0CC46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7.农林水事务支出6825.45万元（包括上解支出）</w:t>
      </w:r>
    </w:p>
    <w:p w14:paraId="23EC6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8.交通运输支出15.16万元</w:t>
      </w:r>
    </w:p>
    <w:p w14:paraId="2109E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9.资源勘探工业信息等支出2.94万元</w:t>
      </w:r>
    </w:p>
    <w:p w14:paraId="7814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10.住房保障支出58.48万元</w:t>
      </w:r>
    </w:p>
    <w:p w14:paraId="4D763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11.灾害防治及应急管理支出1124.43万元</w:t>
      </w:r>
    </w:p>
    <w:p w14:paraId="2C0CE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12.地方政府其他一般债务还本支出1457.36万元</w:t>
      </w:r>
    </w:p>
    <w:p w14:paraId="4E81A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13.结转下年使用资金1061.47万元</w:t>
      </w:r>
    </w:p>
    <w:p w14:paraId="173D4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（三）2025年政府性基金预算收入决算情况</w:t>
      </w:r>
    </w:p>
    <w:p w14:paraId="2A09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本年政府性基金预算收入1037.39万元。</w:t>
      </w:r>
    </w:p>
    <w:p w14:paraId="6083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（四）2025年政府性基金预算支出决算情况</w:t>
      </w:r>
    </w:p>
    <w:p w14:paraId="7BD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政府性基金预算支出1037.39万元，按支出功能科目分类如下：</w:t>
      </w:r>
    </w:p>
    <w:p w14:paraId="0172E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1.城乡社区支出196.67万元。</w:t>
      </w:r>
    </w:p>
    <w:p w14:paraId="067B9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2.农林水支出745.08万元。</w:t>
      </w:r>
    </w:p>
    <w:p w14:paraId="45F2F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3.其他支出95.64万元。</w:t>
      </w:r>
    </w:p>
    <w:p w14:paraId="09EC1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二、财政重点工作情况</w:t>
      </w:r>
    </w:p>
    <w:p w14:paraId="5A23E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我镇坚持稳中求进工作总基调，严格执行年度财政预算，规范预算收支管理，充分发挥财政职能作用，持续优化财政收支结构，大力践行增收节支理念，夯实基层财政运行保障基础，全镇财政运行总体平稳、质效稳步提升，为镇域经济高质量发展、乡村振兴、基层治理筑牢坚实财力支撑。</w:t>
      </w:r>
    </w:p>
    <w:p w14:paraId="15947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（一）深耕税源培育，积蓄增收发展动能</w:t>
      </w:r>
    </w:p>
    <w:p w14:paraId="2E7EF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健全完善招商引资“四级”调度机制，按照“稳存量”“扩增量”“提质量”的财源组收目标，层层压实财源建设主体责任，推动招商引资与税源培育深度融合、一体推进。聚焦辖区恒成伟业、银信兴业等重点税源企业，建立常态化走访帮扶、纾困解难工作机制，靶向破解企业经营难点、发展堵点，全力保障重点企业稳健发展。2025年成功清缴恒成伟业1.84亿元土地增值税,为全区经济高质量发展做出贡献。</w:t>
      </w:r>
    </w:p>
    <w:p w14:paraId="6A18F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优化营商服务体系，深化财政、税务、市场监管多部门协同联动，推行精准化、常态化、全链条政务服务，切实将服务优势转化为产业发展优势和财税增长动能。建立“高精尖+高新技术”“专精特新”等潜力企业储备库，构建梯度化市场主体培育体系，重点培育税源潜力大的优质企业，持续优化税源结构、提升税源质量。2025年全镇新增注册企业193家，为财政长效增收注入新动力。同时，严格落实闲置资产盘活工作部署，系统梳理镇域闲置厂房、土地等存量资产资源，常态化推进闲置资产盘活利用，深挖增收潜力，拓宽财政增收渠道。</w:t>
      </w:r>
    </w:p>
    <w:p w14:paraId="7AE4B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（二）优化收支管理，筑牢基层保障底线</w:t>
      </w:r>
    </w:p>
    <w:p w14:paraId="3D1A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优化支出结构。牢固树立过“紧日子”思想，始终坚持保基本民生、保工资、保运转支出在财政支出的优先顺序，坚决守住“三保”底线，稳固基层运行根基，严格压减非刚性、非重点支出，坚持量入为出、精打细算，支持全镇各项事业发展，做到尽力而为、量力而行。</w:t>
      </w:r>
    </w:p>
    <w:p w14:paraId="1BAEE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是精准对接政策，争取上级资金赋能。紧扣上级资金扶持政策和方向，紧密结合我镇产业发展、生态保护、乡村建设、民生改善等重点工作，找准政策契合点和项目切入点，主动对接上级财政部门，争取转移支付资金支持，持续拓宽镇级财力来源，有效补齐镇域发展资金短板，为全镇重点项目建设、中心工作推进提供坚实财力保障。</w:t>
      </w:r>
    </w:p>
    <w:p w14:paraId="7971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规范监管流程，确保财政运行规范。主动接受人大、审计监督，严格执行镇人代会审查批准的预算，做到预算执行、调整、决算全流程合法合规、公开透明；加强对“三保”支出动态监测、常态化开展财政运行风险排查，提前防范化解风险。严守财经纪律，规范财政资金审批、使用、监管、绩效评价等全流程管理，确保财政资金安全、规范、高效运行。</w:t>
      </w:r>
    </w:p>
    <w:p w14:paraId="0136A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三、当前存在的问题及下一步工作</w:t>
      </w:r>
    </w:p>
    <w:p w14:paraId="7643A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财政工作取得了一些成绩，但在财政运行和管理工作中依然面临着困难与挑战：一是政策性刚性支出不断增加，特别是民生等重点领域支出压力持续加大，财政长期处于“紧平衡”状态，财政收支矛盾持续加剧。二是资金使用效益需进一步提升。部分项目出现支出进度缓慢、资金使用效益不高等问题。针对这些问题，我镇将坚持问题导向、目标导向、结果导向，聚焦短板弱项、精准靶向攻坚，持续抓实财源培育、民生保障、监管提质、风险防控等各项工作，全面提升资金规范化、精细化、科学化管理水平，推动全镇财政工作提质增效、稳健运行。</w:t>
      </w:r>
    </w:p>
    <w:p w14:paraId="1DB0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（一）聚焦财源建设工作，稳固财税增收底盘</w:t>
      </w:r>
    </w:p>
    <w:p w14:paraId="24532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与财税部门、重点企业及中介平台的协调联动，统筹推进稳存量、扩增量、提质量等各项工作。压实招商引资任务分解四级调度工作责任，整合盘活镇域闲置优质资产、资源，聚焦产业链招商、精准招商、以商招商，重点引进税收贡献大、产业关联度高的企业，推动高质量财源尽快形成有效税收支撑，全力保障镇级财政收入稳健增长。</w:t>
      </w:r>
    </w:p>
    <w:p w14:paraId="1351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（二）加强财政资金统筹，夯实民生保障基础</w:t>
      </w:r>
    </w:p>
    <w:p w14:paraId="3F352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落实政府长期过紧日子思想，严控一般性支出，始终坚守“三保”底线，优先保障基本民生、机关运转、重大项目、乡村振兴等重点领域资金需求。持续深化节约型机关建设，全面盘活财政存量资金，精准统筹用于民生改善、基层治理、产业发展、基础设施运维等关键领域，最大化提升财政资金统筹保障效能，以有限财力稳民生、保运转、促发展、护稳定。</w:t>
      </w:r>
    </w:p>
    <w:p w14:paraId="34331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（三）深化财会监管增效，筑牢财政安全防线</w:t>
      </w:r>
    </w:p>
    <w:p w14:paraId="16908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落实财政监督管理规范化建设要求，全面规范财政收支运行流程，细化完善政府采购全链条监管机制，严格规范项目采购、审批、支付、验收全环节管理。加大审计问题整改力度,坚持问题导向，建立整改台账，按照落实情况逐项消号，并建立健全长效机制。强化全过程预算绩效管理，规范预算执行动态监控。扩大绩效评价资金覆盖面，强化结果应用，保障财政资金安全规范高效运行。</w:t>
      </w:r>
    </w:p>
    <w:p w14:paraId="1F6C9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以上报告，提请镇人民代表大会审议。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7EC350-14A1-4488-B19F-491D6F9DB7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B3DCFDB-9ED8-423D-A6E5-41A2E143AF8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A648A4A-E149-497D-9C73-93D71B44EBC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F25BEB10-38BF-4007-A902-B10653200F0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0713BCA-44B5-4DD6-9F03-4E9C28C90E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70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20C2F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20C2F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473E4"/>
    <w:rsid w:val="05F67C1C"/>
    <w:rsid w:val="35DF02EF"/>
    <w:rsid w:val="5234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2766</Words>
  <Characters>3022</Characters>
  <Lines>0</Lines>
  <Paragraphs>0</Paragraphs>
  <TotalTime>3</TotalTime>
  <ScaleCrop>false</ScaleCrop>
  <LinksUpToDate>false</LinksUpToDate>
  <CharactersWithSpaces>3024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2026-08-25T06:50:00Z</dcterms:created>
  <dc:creator>WPS_1696920977</dc:creator>
  <cp:lastModifiedBy>Coca Cola</cp:lastModifiedBy>
  <dcterms:modified xsi:type="dcterms:W3CDTF">2026-09-08T02:20:23Z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626195118BF141309B564B254498AF07_11</vt:lpwstr>
  </property>
  <property fmtid="{D5CDD505-2E9C-101B-9397-08002B2CF9AE}" pid="4" name="KSOTemplateDocerSaveRecord">
    <vt:lpwstr>eyJoZGlkIjoiODY4OTc2ZTNkYTY5OTRjYWY4ZWFiMzBhNjYzZjcxOTEiLCJ1c2VySWQiOiI0Mzc3MTgzNDAifQ==</vt:lpwstr>
  </property>
</Properties>
</file>