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4423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北京市密云区北庄镇人民政府关于</w:t>
      </w:r>
    </w:p>
    <w:p w14:paraId="382AD1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2026年上半年预算执行情况的报告</w:t>
      </w:r>
    </w:p>
    <w:p w14:paraId="4727F95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——2026年8月26日在北庄镇第二届人民代表大会</w:t>
      </w:r>
    </w:p>
    <w:p w14:paraId="365C512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第十一次会议上</w:t>
      </w:r>
    </w:p>
    <w:p w14:paraId="149F725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北庄镇经济发展办公室  刘润东</w:t>
      </w:r>
    </w:p>
    <w:p w14:paraId="486893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 w14:paraId="7C9034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各位代表：</w:t>
      </w:r>
      <w:bookmarkStart w:id="1" w:name="_GoBack"/>
      <w:bookmarkEnd w:id="1"/>
    </w:p>
    <w:p w14:paraId="299847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我受北庄镇人民政府委托，向大会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报告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北庄镇202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年上半年财政预算执行情况，请予审议。</w:t>
      </w:r>
    </w:p>
    <w:p w14:paraId="76C017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今年以来，在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镇党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委的坚强领导下，在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人大的监督指导下，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全镇上下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坚持稳中求进工作总基调，攻坚克难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努力克服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各种不利因素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，坚定不移推动财政工作高质量发展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为完成全年工作目标和任务奠定了基础。</w:t>
      </w:r>
    </w:p>
    <w:p w14:paraId="4852EFC4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一、202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6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年上半年财政收入情况</w:t>
      </w:r>
    </w:p>
    <w:p w14:paraId="5E1796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2" w:leftChars="1" w:firstLine="640" w:firstLineChars="200"/>
        <w:rPr>
          <w:rFonts w:hint="eastAsia" w:ascii="仿宋_GB2312" w:hAnsi="宋体" w:eastAsia="仿宋_GB2312"/>
          <w:sz w:val="32"/>
          <w:szCs w:val="32"/>
        </w:rPr>
      </w:pPr>
      <w:bookmarkStart w:id="0" w:name="_Toc104798294"/>
      <w:r>
        <w:rPr>
          <w:rFonts w:hint="eastAsia" w:ascii="仿宋_GB2312" w:hAnsi="宋体" w:eastAsia="仿宋_GB2312"/>
          <w:sz w:val="32"/>
          <w:szCs w:val="32"/>
          <w:lang w:eastAsia="zh-CN"/>
        </w:rPr>
        <w:t>北庄镇</w:t>
      </w:r>
      <w:r>
        <w:rPr>
          <w:rFonts w:hint="eastAsia" w:ascii="仿宋_GB2312" w:hAnsi="宋体" w:eastAsia="仿宋_GB2312"/>
          <w:sz w:val="32"/>
          <w:szCs w:val="32"/>
        </w:rPr>
        <w:t>202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/>
          <w:sz w:val="32"/>
          <w:szCs w:val="32"/>
        </w:rPr>
        <w:t>年财政收入任务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4300</w:t>
      </w:r>
      <w:r>
        <w:rPr>
          <w:rFonts w:hint="eastAsia" w:ascii="仿宋_GB2312" w:hAnsi="宋体" w:eastAsia="仿宋_GB2312"/>
          <w:sz w:val="32"/>
          <w:szCs w:val="32"/>
        </w:rPr>
        <w:t>万元，截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至</w:t>
      </w:r>
      <w:r>
        <w:rPr>
          <w:rFonts w:hint="eastAsia" w:ascii="仿宋_GB2312" w:hAnsi="宋体" w:eastAsia="仿宋_GB2312"/>
          <w:sz w:val="32"/>
          <w:szCs w:val="32"/>
        </w:rPr>
        <w:t>6月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30日</w:t>
      </w:r>
      <w:r>
        <w:rPr>
          <w:rFonts w:hint="eastAsia" w:ascii="仿宋_GB2312" w:hAnsi="宋体" w:eastAsia="仿宋_GB2312"/>
          <w:sz w:val="32"/>
          <w:szCs w:val="32"/>
        </w:rPr>
        <w:t>累计完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成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2190.6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万元，完成年度任务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的50.94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%，</w:t>
      </w:r>
      <w:r>
        <w:rPr>
          <w:rFonts w:hint="eastAsia" w:ascii="仿宋_GB2312" w:hAnsi="宋体" w:eastAsia="仿宋_GB2312"/>
          <w:sz w:val="32"/>
          <w:szCs w:val="32"/>
        </w:rPr>
        <w:t>比去年同期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1700.92</w:t>
      </w:r>
      <w:r>
        <w:rPr>
          <w:rFonts w:hint="eastAsia" w:ascii="仿宋_GB2312" w:hAnsi="宋体" w:eastAsia="仿宋_GB2312"/>
          <w:sz w:val="32"/>
          <w:szCs w:val="32"/>
        </w:rPr>
        <w:t>万元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增加489.68万元</w:t>
      </w:r>
      <w:r>
        <w:rPr>
          <w:rFonts w:hint="eastAsia" w:ascii="仿宋_GB2312" w:hAnsi="宋体" w:eastAsia="仿宋_GB2312"/>
          <w:sz w:val="32"/>
          <w:szCs w:val="32"/>
        </w:rPr>
        <w:t>，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增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幅28.79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%。</w:t>
      </w:r>
      <w:r>
        <w:rPr>
          <w:rFonts w:hint="eastAsia" w:ascii="仿宋_GB2312" w:hAnsi="宋体" w:eastAsia="仿宋_GB2312"/>
          <w:sz w:val="32"/>
          <w:szCs w:val="32"/>
        </w:rPr>
        <w:t>具体情况如下：</w:t>
      </w:r>
    </w:p>
    <w:p w14:paraId="4532915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23"/>
        <w:rPr>
          <w:rFonts w:hint="eastAsia"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税收收入基本情况</w:t>
      </w:r>
    </w:p>
    <w:p w14:paraId="3F0E03B9">
      <w:pPr>
        <w:pStyle w:val="2"/>
        <w:numPr>
          <w:ilvl w:val="0"/>
          <w:numId w:val="0"/>
        </w:numPr>
        <w:rPr>
          <w:rFonts w:hint="default" w:eastAsia="等线"/>
          <w:lang w:val="en-US" w:eastAsia="zh-CN"/>
        </w:rPr>
      </w:pPr>
      <w:r>
        <w:rPr>
          <w:rFonts w:hint="eastAsia"/>
          <w:lang w:val="en-US" w:eastAsia="zh-CN"/>
        </w:rPr>
        <w:t xml:space="preserve">      </w:t>
      </w:r>
      <w:r>
        <w:rPr>
          <w:rFonts w:hint="eastAsia" w:ascii="仿宋_GB2312" w:hAnsi="宋体" w:eastAsia="仿宋_GB2312" w:cs="Times New Roman"/>
          <w:color w:val="auto"/>
          <w:kern w:val="2"/>
          <w:sz w:val="32"/>
          <w:szCs w:val="32"/>
          <w:lang w:val="en-US" w:eastAsia="zh-CN" w:bidi="ar-SA"/>
        </w:rPr>
        <w:t>我镇上半年税收收入合计1971.14万元，具体情况：</w:t>
      </w:r>
    </w:p>
    <w:p w14:paraId="43512F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23"/>
        <w:rPr>
          <w:rFonts w:hint="eastAsia" w:ascii="仿宋_GB2312" w:hAnsi="宋体" w:eastAsia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color w:val="auto"/>
          <w:sz w:val="32"/>
          <w:szCs w:val="32"/>
        </w:rPr>
        <w:t>1.增值税收入完成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1371.05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万元，比去年同期的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1305.57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万元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增加65.48万元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，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增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幅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5.02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%</w:t>
      </w:r>
      <w:r>
        <w:rPr>
          <w:rFonts w:hint="eastAsia" w:ascii="仿宋_GB2312" w:hAnsi="宋体" w:eastAsia="仿宋_GB2312"/>
          <w:color w:val="auto"/>
          <w:sz w:val="32"/>
          <w:szCs w:val="32"/>
          <w:lang w:eastAsia="zh-CN"/>
        </w:rPr>
        <w:t>。</w:t>
      </w:r>
    </w:p>
    <w:p w14:paraId="123A7E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23"/>
        <w:rPr>
          <w:rFonts w:hint="eastAsia" w:ascii="仿宋_GB2312" w:hAnsi="宋体" w:eastAsia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color w:val="auto"/>
          <w:sz w:val="32"/>
          <w:szCs w:val="32"/>
        </w:rPr>
        <w:t>2.企业所得税收入完成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385.89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万元，比去年同期的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332.95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万元增加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52.94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万元，增幅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15.90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%</w:t>
      </w:r>
      <w:r>
        <w:rPr>
          <w:rFonts w:hint="eastAsia" w:ascii="仿宋_GB2312" w:hAnsi="宋体" w:eastAsia="仿宋_GB2312"/>
          <w:color w:val="auto"/>
          <w:sz w:val="32"/>
          <w:szCs w:val="32"/>
          <w:lang w:eastAsia="zh-CN"/>
        </w:rPr>
        <w:t>。</w:t>
      </w:r>
    </w:p>
    <w:p w14:paraId="0A6047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23"/>
        <w:rPr>
          <w:rFonts w:hint="eastAsia" w:ascii="仿宋_GB2312" w:hAnsi="宋体" w:eastAsia="仿宋_GB2312"/>
          <w:color w:val="auto"/>
          <w:sz w:val="32"/>
          <w:szCs w:val="32"/>
        </w:rPr>
      </w:pP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.房产税收入完成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87.8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万元，比去年同期的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20.46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万元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增加67.34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万元，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增幅329.13%。</w:t>
      </w:r>
    </w:p>
    <w:p w14:paraId="6F6E43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23"/>
        <w:rPr>
          <w:rFonts w:hint="eastAsia" w:ascii="仿宋_GB2312" w:hAnsi="宋体" w:eastAsia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.个人所得税收入完成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125.32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万元，比去年同期的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40.54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万元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增加84.78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万元，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增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幅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209.13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%</w:t>
      </w:r>
      <w:r>
        <w:rPr>
          <w:rFonts w:hint="eastAsia" w:ascii="仿宋_GB2312" w:hAnsi="宋体" w:eastAsia="仿宋_GB2312"/>
          <w:color w:val="auto"/>
          <w:sz w:val="32"/>
          <w:szCs w:val="32"/>
          <w:lang w:eastAsia="zh-CN"/>
        </w:rPr>
        <w:t>。</w:t>
      </w:r>
    </w:p>
    <w:p w14:paraId="3CF456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23"/>
        <w:rPr>
          <w:rFonts w:hint="eastAsia" w:ascii="仿宋_GB2312" w:hAnsi="宋体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.</w:t>
      </w:r>
      <w:r>
        <w:rPr>
          <w:rFonts w:hint="eastAsia" w:ascii="仿宋_GB2312" w:hAnsi="宋体" w:eastAsia="仿宋_GB2312"/>
          <w:sz w:val="32"/>
          <w:szCs w:val="32"/>
        </w:rPr>
        <w:t>城镇土地使用税收入完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成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1.08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万元</w:t>
      </w:r>
      <w:r>
        <w:rPr>
          <w:rFonts w:hint="eastAsia" w:ascii="仿宋_GB2312" w:hAnsi="宋体" w:eastAsia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比</w:t>
      </w:r>
      <w:r>
        <w:rPr>
          <w:rFonts w:hint="eastAsia" w:ascii="仿宋_GB2312" w:hAnsi="宋体" w:eastAsia="仿宋_GB2312"/>
          <w:sz w:val="32"/>
          <w:szCs w:val="32"/>
        </w:rPr>
        <w:t>去年同期的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1.4减少0.32万元，减幅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22.86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%。</w:t>
      </w:r>
    </w:p>
    <w:p w14:paraId="0C611B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23"/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非税收入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情况</w:t>
      </w:r>
    </w:p>
    <w:p w14:paraId="2BC6AD2C">
      <w:pPr>
        <w:keepNext w:val="0"/>
        <w:keepLines w:val="0"/>
        <w:pageBreakBefore w:val="0"/>
        <w:widowControl w:val="0"/>
        <w:pBdr>
          <w:bottom w:val="single" w:color="FFFFFF" w:sz="4" w:space="11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仿宋_GB2312" w:hAnsi="宋体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Times New Roman"/>
          <w:color w:val="auto"/>
          <w:sz w:val="32"/>
          <w:szCs w:val="32"/>
          <w:lang w:val="en-US" w:eastAsia="zh-CN"/>
        </w:rPr>
        <w:t>我镇上半年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非税收入219.46万元，为国有资源（资产）有偿使用收入。</w:t>
      </w:r>
    </w:p>
    <w:p w14:paraId="46346E85">
      <w:pPr>
        <w:keepNext w:val="0"/>
        <w:keepLines w:val="0"/>
        <w:pageBreakBefore w:val="0"/>
        <w:widowControl w:val="0"/>
        <w:pBdr>
          <w:bottom w:val="single" w:color="FFFFFF" w:sz="4" w:space="11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二、202</w:t>
      </w:r>
      <w:r>
        <w:rPr>
          <w:rFonts w:hint="eastAsia" w:ascii="黑体" w:hAnsi="宋体" w:eastAsia="黑体"/>
          <w:sz w:val="32"/>
          <w:szCs w:val="32"/>
          <w:lang w:val="en-US" w:eastAsia="zh-CN"/>
        </w:rPr>
        <w:t>6</w:t>
      </w:r>
      <w:r>
        <w:rPr>
          <w:rFonts w:hint="eastAsia" w:ascii="黑体" w:hAnsi="宋体" w:eastAsia="黑体"/>
          <w:sz w:val="32"/>
          <w:szCs w:val="32"/>
        </w:rPr>
        <w:t>年上半年财政支出情况</w:t>
      </w:r>
      <w:bookmarkEnd w:id="0"/>
    </w:p>
    <w:p w14:paraId="408DB05A">
      <w:pPr>
        <w:keepNext w:val="0"/>
        <w:keepLines w:val="0"/>
        <w:pageBreakBefore w:val="0"/>
        <w:widowControl w:val="0"/>
        <w:pBdr>
          <w:bottom w:val="single" w:color="FFFFFF" w:sz="4" w:space="11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宋体" w:eastAsia="仿宋_GB2312"/>
          <w:color w:val="auto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>北庄镇</w:t>
      </w:r>
      <w:r>
        <w:rPr>
          <w:rFonts w:hint="eastAsia" w:ascii="仿宋_GB2312" w:hAnsi="宋体" w:eastAsia="仿宋_GB2312"/>
          <w:sz w:val="32"/>
          <w:szCs w:val="32"/>
        </w:rPr>
        <w:t>202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/>
          <w:sz w:val="32"/>
          <w:szCs w:val="32"/>
        </w:rPr>
        <w:t>年财政支出预算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6918.85</w:t>
      </w:r>
      <w:r>
        <w:rPr>
          <w:rFonts w:hint="eastAsia" w:ascii="仿宋_GB2312" w:hAnsi="宋体" w:eastAsia="仿宋_GB2312"/>
          <w:sz w:val="32"/>
          <w:szCs w:val="32"/>
        </w:rPr>
        <w:t>万元，截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至</w:t>
      </w:r>
      <w:r>
        <w:rPr>
          <w:rFonts w:hint="eastAsia" w:ascii="仿宋_GB2312" w:hAnsi="华文楷体" w:eastAsia="仿宋_GB2312"/>
          <w:sz w:val="32"/>
          <w:szCs w:val="32"/>
        </w:rPr>
        <w:t>6月</w:t>
      </w:r>
      <w:r>
        <w:rPr>
          <w:rFonts w:hint="eastAsia" w:ascii="仿宋_GB2312" w:hAnsi="华文楷体" w:eastAsia="仿宋_GB2312"/>
          <w:sz w:val="32"/>
          <w:szCs w:val="32"/>
          <w:lang w:val="en-US" w:eastAsia="zh-CN"/>
        </w:rPr>
        <w:t>30日</w:t>
      </w:r>
      <w:r>
        <w:rPr>
          <w:rFonts w:hint="eastAsia" w:ascii="仿宋_GB2312" w:hAnsi="宋体" w:eastAsia="仿宋_GB2312"/>
          <w:sz w:val="32"/>
          <w:szCs w:val="32"/>
        </w:rPr>
        <w:t>完成财政支出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28428.14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万元，比去年同期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5572.90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万元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增加22855.24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万元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</w:rPr>
        <w:t>重点支持了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  <w:lang w:val="en-US" w:eastAsia="zh-CN"/>
        </w:rPr>
        <w:t>灾后恢复重建、农林水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</w:rPr>
        <w:t>、机关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  <w:lang w:val="en-US" w:eastAsia="zh-CN"/>
        </w:rPr>
        <w:t>运转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</w:rPr>
        <w:t>等方面的工作，具体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情况如下：</w:t>
      </w:r>
    </w:p>
    <w:p w14:paraId="6B8327DD">
      <w:pPr>
        <w:keepNext w:val="0"/>
        <w:keepLines w:val="0"/>
        <w:pageBreakBefore w:val="0"/>
        <w:widowControl w:val="0"/>
        <w:pBdr>
          <w:bottom w:val="single" w:color="FFFFFF" w:sz="4" w:space="11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（一）财政支出情况</w:t>
      </w:r>
    </w:p>
    <w:p w14:paraId="256495B3">
      <w:pPr>
        <w:keepNext w:val="0"/>
        <w:keepLines w:val="0"/>
        <w:pageBreakBefore w:val="0"/>
        <w:widowControl w:val="0"/>
        <w:pBdr>
          <w:bottom w:val="single" w:color="FFFFFF" w:sz="4" w:space="11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1.一般公共服务支出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1840.42</w:t>
      </w:r>
      <w:r>
        <w:rPr>
          <w:rFonts w:hint="eastAsia" w:ascii="仿宋_GB2312" w:hAnsi="宋体" w:eastAsia="仿宋_GB2312" w:cs="Times New Roman"/>
          <w:sz w:val="32"/>
          <w:szCs w:val="32"/>
        </w:rPr>
        <w:t>万元，占财政支出的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  <w:lang w:val="en-US" w:eastAsia="zh-CN"/>
        </w:rPr>
        <w:t>6.47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</w:rPr>
        <w:t>%</w:t>
      </w:r>
      <w:r>
        <w:rPr>
          <w:rFonts w:hint="eastAsia" w:ascii="仿宋_GB2312" w:hAnsi="宋体" w:eastAsia="仿宋_GB2312" w:cs="Times New Roman"/>
          <w:sz w:val="32"/>
          <w:szCs w:val="32"/>
        </w:rPr>
        <w:t>；</w:t>
      </w:r>
    </w:p>
    <w:p w14:paraId="7EB4D34D">
      <w:pPr>
        <w:keepNext w:val="0"/>
        <w:keepLines w:val="0"/>
        <w:pageBreakBefore w:val="0"/>
        <w:widowControl w:val="0"/>
        <w:pBdr>
          <w:bottom w:val="single" w:color="FFFFFF" w:sz="4" w:space="11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宋体" w:eastAsia="仿宋_GB2312" w:cs="Times New Roman"/>
          <w:sz w:val="32"/>
          <w:szCs w:val="32"/>
          <w:lang w:eastAsia="zh-CN"/>
        </w:rPr>
      </w:pP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Times New Roman"/>
          <w:sz w:val="32"/>
          <w:szCs w:val="32"/>
        </w:rPr>
        <w:t>.文化旅游体育与传媒支出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225.22</w:t>
      </w:r>
      <w:r>
        <w:rPr>
          <w:rFonts w:hint="eastAsia" w:ascii="仿宋_GB2312" w:hAnsi="宋体" w:eastAsia="仿宋_GB2312" w:cs="Times New Roman"/>
          <w:sz w:val="32"/>
          <w:szCs w:val="32"/>
        </w:rPr>
        <w:t>万元</w:t>
      </w:r>
      <w:r>
        <w:rPr>
          <w:rFonts w:hint="eastAsia" w:ascii="仿宋_GB2312" w:hAnsi="宋体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Times New Roman"/>
          <w:sz w:val="32"/>
          <w:szCs w:val="32"/>
        </w:rPr>
        <w:t>占财政支出的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0.79</w:t>
      </w:r>
      <w:r>
        <w:rPr>
          <w:rFonts w:hint="eastAsia" w:ascii="仿宋_GB2312" w:hAnsi="宋体" w:eastAsia="仿宋_GB2312" w:cs="Times New Roman"/>
          <w:sz w:val="32"/>
          <w:szCs w:val="32"/>
        </w:rPr>
        <w:t>%；</w:t>
      </w:r>
    </w:p>
    <w:p w14:paraId="7AC12EF1">
      <w:pPr>
        <w:keepNext w:val="0"/>
        <w:keepLines w:val="0"/>
        <w:pageBreakBefore w:val="0"/>
        <w:widowControl w:val="0"/>
        <w:pBdr>
          <w:bottom w:val="single" w:color="FFFFFF" w:sz="4" w:space="11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3.</w:t>
      </w:r>
      <w:r>
        <w:rPr>
          <w:rFonts w:hint="eastAsia" w:ascii="仿宋_GB2312" w:hAnsi="宋体" w:eastAsia="仿宋_GB2312" w:cs="Times New Roman"/>
          <w:sz w:val="32"/>
          <w:szCs w:val="32"/>
        </w:rPr>
        <w:t>社会保障和就业支出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436.86</w:t>
      </w:r>
      <w:r>
        <w:rPr>
          <w:rFonts w:hint="eastAsia" w:ascii="仿宋_GB2312" w:hAnsi="宋体" w:eastAsia="仿宋_GB2312" w:cs="Times New Roman"/>
          <w:sz w:val="32"/>
          <w:szCs w:val="32"/>
        </w:rPr>
        <w:t>万元</w:t>
      </w:r>
      <w:r>
        <w:rPr>
          <w:rFonts w:hint="eastAsia" w:ascii="仿宋_GB2312" w:hAnsi="宋体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Times New Roman"/>
          <w:sz w:val="32"/>
          <w:szCs w:val="32"/>
        </w:rPr>
        <w:t>占财政支出的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1.54</w:t>
      </w:r>
      <w:r>
        <w:rPr>
          <w:rFonts w:hint="eastAsia" w:ascii="仿宋_GB2312" w:hAnsi="宋体" w:eastAsia="仿宋_GB2312" w:cs="Times New Roman"/>
          <w:sz w:val="32"/>
          <w:szCs w:val="32"/>
        </w:rPr>
        <w:t>%；</w:t>
      </w:r>
    </w:p>
    <w:p w14:paraId="2070622F">
      <w:pPr>
        <w:keepNext w:val="0"/>
        <w:keepLines w:val="0"/>
        <w:pageBreakBefore w:val="0"/>
        <w:widowControl w:val="0"/>
        <w:pBdr>
          <w:bottom w:val="single" w:color="FFFFFF" w:sz="4" w:space="11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4.卫生健康支出169.23万元,占财政支出的0.59%;</w:t>
      </w:r>
    </w:p>
    <w:p w14:paraId="61247677">
      <w:pPr>
        <w:keepNext w:val="0"/>
        <w:keepLines w:val="0"/>
        <w:pageBreakBefore w:val="0"/>
        <w:widowControl w:val="0"/>
        <w:pBdr>
          <w:bottom w:val="single" w:color="FFFFFF" w:sz="4" w:space="11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5.节能环保支出1.26万元。</w:t>
      </w:r>
    </w:p>
    <w:p w14:paraId="195478DB">
      <w:pPr>
        <w:keepNext w:val="0"/>
        <w:keepLines w:val="0"/>
        <w:pageBreakBefore w:val="0"/>
        <w:widowControl w:val="0"/>
        <w:pBdr>
          <w:bottom w:val="single" w:color="FFFFFF" w:sz="4" w:space="11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6.</w:t>
      </w:r>
      <w:r>
        <w:rPr>
          <w:rFonts w:hint="eastAsia" w:ascii="仿宋_GB2312" w:hAnsi="宋体" w:eastAsia="仿宋_GB2312" w:cs="Times New Roman"/>
          <w:sz w:val="32"/>
          <w:szCs w:val="32"/>
        </w:rPr>
        <w:t>城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</w:rPr>
        <w:t>乡社区事务支出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  <w:lang w:val="en-US" w:eastAsia="zh-CN"/>
        </w:rPr>
        <w:t>8724.04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</w:rPr>
        <w:t>万元，占财政支出的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  <w:lang w:val="en-US" w:eastAsia="zh-CN"/>
        </w:rPr>
        <w:t>30.69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</w:rPr>
        <w:t>%</w:t>
      </w:r>
      <w:r>
        <w:rPr>
          <w:rFonts w:hint="eastAsia" w:ascii="仿宋_GB2312" w:hAnsi="宋体" w:eastAsia="仿宋_GB2312" w:cs="Times New Roman"/>
          <w:sz w:val="32"/>
          <w:szCs w:val="32"/>
        </w:rPr>
        <w:t>；</w:t>
      </w:r>
    </w:p>
    <w:p w14:paraId="71C558C9">
      <w:pPr>
        <w:keepNext w:val="0"/>
        <w:keepLines w:val="0"/>
        <w:pageBreakBefore w:val="0"/>
        <w:widowControl w:val="0"/>
        <w:pBdr>
          <w:bottom w:val="single" w:color="FFFFFF" w:sz="4" w:space="11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宋体" w:eastAsia="仿宋_GB2312" w:cs="Times New Roman"/>
          <w:sz w:val="32"/>
          <w:szCs w:val="32"/>
          <w:lang w:eastAsia="zh-CN"/>
        </w:rPr>
      </w:pP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7</w:t>
      </w:r>
      <w:r>
        <w:rPr>
          <w:rFonts w:hint="eastAsia" w:ascii="仿宋_GB2312" w:hAnsi="宋体" w:eastAsia="仿宋_GB2312" w:cs="Times New Roman"/>
          <w:sz w:val="32"/>
          <w:szCs w:val="32"/>
        </w:rPr>
        <w:t>.农林水支出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5481.48</w:t>
      </w:r>
      <w:r>
        <w:rPr>
          <w:rFonts w:hint="eastAsia" w:ascii="仿宋_GB2312" w:hAnsi="宋体" w:eastAsia="仿宋_GB2312" w:cs="Times New Roman"/>
          <w:sz w:val="32"/>
          <w:szCs w:val="32"/>
        </w:rPr>
        <w:t>万元，占财政支出的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19.28</w:t>
      </w:r>
      <w:r>
        <w:rPr>
          <w:rFonts w:hint="eastAsia" w:ascii="仿宋_GB2312" w:hAnsi="宋体" w:eastAsia="仿宋_GB2312" w:cs="Times New Roman"/>
          <w:sz w:val="32"/>
          <w:szCs w:val="32"/>
        </w:rPr>
        <w:t>%</w:t>
      </w:r>
      <w:r>
        <w:rPr>
          <w:rFonts w:hint="eastAsia" w:ascii="仿宋_GB2312" w:hAnsi="宋体" w:eastAsia="仿宋_GB2312" w:cs="Times New Roman"/>
          <w:sz w:val="32"/>
          <w:szCs w:val="32"/>
          <w:lang w:eastAsia="zh-CN"/>
        </w:rPr>
        <w:t>；</w:t>
      </w:r>
    </w:p>
    <w:p w14:paraId="362FC61C">
      <w:pPr>
        <w:keepNext w:val="0"/>
        <w:keepLines w:val="0"/>
        <w:pageBreakBefore w:val="0"/>
        <w:widowControl w:val="0"/>
        <w:pBdr>
          <w:bottom w:val="single" w:color="FFFFFF" w:sz="4" w:space="11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8.交通运输支出533.63万元，</w:t>
      </w:r>
      <w:r>
        <w:rPr>
          <w:rFonts w:hint="eastAsia" w:ascii="仿宋_GB2312" w:hAnsi="宋体" w:eastAsia="仿宋_GB2312" w:cs="Times New Roman"/>
          <w:sz w:val="32"/>
          <w:szCs w:val="32"/>
        </w:rPr>
        <w:t>占财政支出的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1.88</w:t>
      </w:r>
      <w:r>
        <w:rPr>
          <w:rFonts w:hint="eastAsia" w:ascii="仿宋_GB2312" w:hAnsi="宋体" w:eastAsia="仿宋_GB2312" w:cs="Times New Roman"/>
          <w:sz w:val="32"/>
          <w:szCs w:val="32"/>
        </w:rPr>
        <w:t>%</w:t>
      </w:r>
      <w:r>
        <w:rPr>
          <w:rFonts w:hint="eastAsia" w:ascii="仿宋_GB2312" w:hAnsi="宋体" w:eastAsia="仿宋_GB2312" w:cs="Times New Roman"/>
          <w:sz w:val="32"/>
          <w:szCs w:val="32"/>
          <w:lang w:eastAsia="zh-CN"/>
        </w:rPr>
        <w:t>；</w:t>
      </w:r>
    </w:p>
    <w:p w14:paraId="7BDF6376">
      <w:pPr>
        <w:keepNext w:val="0"/>
        <w:keepLines w:val="0"/>
        <w:pageBreakBefore w:val="0"/>
        <w:widowControl w:val="0"/>
        <w:pBdr>
          <w:bottom w:val="single" w:color="FFFFFF" w:sz="4" w:space="11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9.资源勘探工业信息等支出7.14万元，</w:t>
      </w:r>
      <w:r>
        <w:rPr>
          <w:rFonts w:hint="eastAsia" w:ascii="仿宋_GB2312" w:hAnsi="宋体" w:eastAsia="仿宋_GB2312" w:cs="Times New Roman"/>
          <w:sz w:val="32"/>
          <w:szCs w:val="32"/>
        </w:rPr>
        <w:t>占财政支出的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0.03</w:t>
      </w:r>
      <w:r>
        <w:rPr>
          <w:rFonts w:hint="eastAsia" w:ascii="仿宋_GB2312" w:hAnsi="宋体" w:eastAsia="仿宋_GB2312" w:cs="Times New Roman"/>
          <w:sz w:val="32"/>
          <w:szCs w:val="32"/>
        </w:rPr>
        <w:t>%</w:t>
      </w:r>
      <w:r>
        <w:rPr>
          <w:rFonts w:hint="eastAsia" w:ascii="仿宋_GB2312" w:hAnsi="宋体" w:eastAsia="仿宋_GB2312" w:cs="Times New Roman"/>
          <w:sz w:val="32"/>
          <w:szCs w:val="32"/>
          <w:lang w:eastAsia="zh-CN"/>
        </w:rPr>
        <w:t>；</w:t>
      </w:r>
    </w:p>
    <w:p w14:paraId="6E4334D2">
      <w:pPr>
        <w:keepNext w:val="0"/>
        <w:keepLines w:val="0"/>
        <w:pageBreakBefore w:val="0"/>
        <w:widowControl w:val="0"/>
        <w:pBdr>
          <w:bottom w:val="single" w:color="FFFFFF" w:sz="4" w:space="11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宋体" w:eastAsia="仿宋_GB2312" w:cs="Times New Roman"/>
          <w:sz w:val="32"/>
          <w:szCs w:val="32"/>
          <w:lang w:eastAsia="zh-CN"/>
        </w:rPr>
      </w:pP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10.住房保障支出300万元，</w:t>
      </w:r>
      <w:r>
        <w:rPr>
          <w:rFonts w:hint="eastAsia" w:ascii="仿宋_GB2312" w:hAnsi="宋体" w:eastAsia="仿宋_GB2312" w:cs="Times New Roman"/>
          <w:sz w:val="32"/>
          <w:szCs w:val="32"/>
        </w:rPr>
        <w:t>占财政支出的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1.06</w:t>
      </w:r>
      <w:r>
        <w:rPr>
          <w:rFonts w:hint="eastAsia" w:ascii="仿宋_GB2312" w:hAnsi="宋体" w:eastAsia="仿宋_GB2312" w:cs="Times New Roman"/>
          <w:sz w:val="32"/>
          <w:szCs w:val="32"/>
        </w:rPr>
        <w:t>%</w:t>
      </w:r>
      <w:r>
        <w:rPr>
          <w:rFonts w:hint="eastAsia" w:ascii="仿宋_GB2312" w:hAnsi="宋体" w:eastAsia="仿宋_GB2312" w:cs="Times New Roman"/>
          <w:sz w:val="32"/>
          <w:szCs w:val="32"/>
          <w:lang w:eastAsia="zh-CN"/>
        </w:rPr>
        <w:t>；</w:t>
      </w:r>
    </w:p>
    <w:p w14:paraId="48EE873C">
      <w:pPr>
        <w:keepNext w:val="0"/>
        <w:keepLines w:val="0"/>
        <w:pageBreakBefore w:val="0"/>
        <w:widowControl w:val="0"/>
        <w:pBdr>
          <w:bottom w:val="single" w:color="FFFFFF" w:sz="4" w:space="11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11.灾害防治及应急管理支出10708.87万元，</w:t>
      </w:r>
      <w:r>
        <w:rPr>
          <w:rFonts w:hint="eastAsia" w:ascii="仿宋_GB2312" w:hAnsi="宋体" w:eastAsia="仿宋_GB2312" w:cs="Times New Roman"/>
          <w:sz w:val="32"/>
          <w:szCs w:val="32"/>
        </w:rPr>
        <w:t>占财政支出的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37.67</w:t>
      </w:r>
      <w:r>
        <w:rPr>
          <w:rFonts w:hint="eastAsia" w:ascii="仿宋_GB2312" w:hAnsi="宋体" w:eastAsia="仿宋_GB2312" w:cs="Times New Roman"/>
          <w:sz w:val="32"/>
          <w:szCs w:val="32"/>
        </w:rPr>
        <w:t>%</w:t>
      </w:r>
      <w:r>
        <w:rPr>
          <w:rFonts w:hint="eastAsia" w:ascii="仿宋_GB2312" w:hAnsi="宋体" w:eastAsia="仿宋_GB2312" w:cs="Times New Roman"/>
          <w:sz w:val="32"/>
          <w:szCs w:val="32"/>
          <w:lang w:eastAsia="zh-CN"/>
        </w:rPr>
        <w:t>。</w:t>
      </w:r>
    </w:p>
    <w:p w14:paraId="2C911864">
      <w:pPr>
        <w:keepNext w:val="0"/>
        <w:keepLines w:val="0"/>
        <w:pageBreakBefore w:val="0"/>
        <w:widowControl w:val="0"/>
        <w:pBdr>
          <w:bottom w:val="single" w:color="FFFFFF" w:sz="4" w:space="11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（二）主要支出方向</w:t>
      </w:r>
    </w:p>
    <w:p w14:paraId="4A120DD5">
      <w:pPr>
        <w:keepNext w:val="0"/>
        <w:keepLines w:val="0"/>
        <w:pageBreakBefore w:val="0"/>
        <w:widowControl w:val="0"/>
        <w:pBdr>
          <w:bottom w:val="single" w:color="FFFFFF" w:sz="4" w:space="11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华文楷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</w:rPr>
        <w:t>在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上半年</w:t>
      </w:r>
      <w:r>
        <w:rPr>
          <w:rFonts w:hint="eastAsia" w:ascii="仿宋_GB2312" w:hAnsi="宋体" w:eastAsia="仿宋_GB2312"/>
          <w:sz w:val="32"/>
          <w:szCs w:val="32"/>
        </w:rPr>
        <w:t>的财政工作中，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我镇在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加强财政调控上积极作为，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严格控制行政成本，</w:t>
      </w:r>
      <w:r>
        <w:rPr>
          <w:rFonts w:hint="eastAsia" w:ascii="仿宋_GB2312" w:hAnsi="宋体" w:eastAsia="仿宋_GB2312"/>
          <w:sz w:val="32"/>
          <w:szCs w:val="32"/>
        </w:rPr>
        <w:t>压减</w:t>
      </w:r>
      <w:r>
        <w:rPr>
          <w:rFonts w:hint="eastAsia" w:ascii="仿宋_GB2312" w:hAnsi="华文楷体" w:eastAsia="仿宋_GB2312"/>
          <w:sz w:val="32"/>
          <w:szCs w:val="32"/>
        </w:rPr>
        <w:t>一般性支出</w:t>
      </w:r>
      <w:r>
        <w:rPr>
          <w:rFonts w:hint="eastAsia" w:ascii="仿宋_GB2312" w:hAnsi="华文楷体" w:eastAsia="仿宋_GB2312"/>
          <w:sz w:val="32"/>
          <w:szCs w:val="32"/>
          <w:lang w:eastAsia="zh-CN"/>
        </w:rPr>
        <w:t>。</w:t>
      </w:r>
      <w:r>
        <w:rPr>
          <w:rFonts w:hint="eastAsia" w:ascii="仿宋_GB2312" w:hAnsi="华文楷体" w:eastAsia="仿宋_GB2312"/>
          <w:sz w:val="32"/>
          <w:szCs w:val="32"/>
          <w:lang w:val="en-US" w:eastAsia="zh-CN"/>
        </w:rPr>
        <w:t>同时，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把灾后恢复重建工作当作重中之重，持续加大灾后恢复重建项目支出，</w:t>
      </w:r>
      <w:r>
        <w:rPr>
          <w:rFonts w:hint="eastAsia" w:ascii="仿宋_GB2312" w:hAnsi="华文楷体" w:eastAsia="仿宋_GB2312"/>
          <w:sz w:val="32"/>
          <w:szCs w:val="32"/>
          <w:lang w:val="en-US" w:eastAsia="zh-CN"/>
        </w:rPr>
        <w:t>另外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，我镇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还重点在“百千工程”建设、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美丽乡村建设、农业农村建设等重点领域加大资金投入，有力保障了全镇经济社会平稳有序发展。</w:t>
      </w:r>
      <w:r>
        <w:rPr>
          <w:rFonts w:hint="eastAsia" w:ascii="仿宋_GB2312" w:hAnsi="华文楷体" w:eastAsia="仿宋_GB2312"/>
          <w:sz w:val="32"/>
          <w:szCs w:val="32"/>
          <w:lang w:eastAsia="zh-CN"/>
        </w:rPr>
        <w:t>重点支出</w:t>
      </w:r>
      <w:r>
        <w:rPr>
          <w:rFonts w:hint="eastAsia" w:ascii="仿宋_GB2312" w:hAnsi="宋体" w:eastAsia="仿宋_GB2312"/>
          <w:sz w:val="32"/>
          <w:szCs w:val="32"/>
        </w:rPr>
        <w:t>情况如下</w:t>
      </w:r>
      <w:r>
        <w:rPr>
          <w:rFonts w:hint="eastAsia" w:ascii="仿宋_GB2312" w:hAnsi="华文楷体" w:eastAsia="仿宋_GB2312"/>
          <w:sz w:val="32"/>
          <w:szCs w:val="32"/>
          <w:lang w:eastAsia="zh-CN"/>
        </w:rPr>
        <w:t>：</w:t>
      </w:r>
    </w:p>
    <w:p w14:paraId="38ADCEB3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1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hAnsi="宋体" w:eastAsia="仿宋_GB2312"/>
          <w:color w:val="auto"/>
          <w:sz w:val="32"/>
          <w:szCs w:val="32"/>
          <w:lang w:eastAsia="zh-CN"/>
        </w:rPr>
        <w:t>机关运转支出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经费。</w:t>
      </w:r>
      <w:r>
        <w:rPr>
          <w:rFonts w:hint="eastAsia" w:ascii="仿宋_GB2312" w:hAnsi="宋体" w:eastAsia="仿宋_GB2312"/>
          <w:color w:val="auto"/>
          <w:sz w:val="32"/>
          <w:szCs w:val="32"/>
          <w:lang w:eastAsia="zh-CN"/>
        </w:rPr>
        <w:t>机关运转支出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合计3720.36万元，其中：工资福利支出2466.38万元，商品服务支出1253.96万元，对家庭和个人补助0.02万元。</w:t>
      </w:r>
    </w:p>
    <w:p w14:paraId="3A534FC4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1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仿宋_GB2312" w:hAnsi="宋体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2.拨付各村及项目建设资金24707.78万元。主要有：密云区2025年乡村公路水毁修复工程（第一批）10875.19万元;北庄镇山洪沟道水毁修复工程（第二批）4460.44万元；北庄镇山洪沟道治理工程（第一批）1382.31万元；密云区2026年地质灾害领域一年基本恢复项目1147.87万元；密云区2025年农村供水设施水毁修复工程(第一批)(北庄镇朱家湾村、土门村、北庄村、干峪沟村)773.45万元；密云区北庄镇东庄至干峪沟、达峪沟、上庄排洪沟治理工程629.03万元；密云区北庄镇污水设施水毁修复工程（6项）545.63万元；2025年农村人居环境基础设施灾后恢复重建项目513.51万元；北京市“百千工程”密云区北庄镇示范片区自然科普馆项目506.34万元；密云区北庄镇应急抢险工程410.34万元；密云区北庄镇供水设施修复工程（10项）391.15万元。</w:t>
      </w:r>
    </w:p>
    <w:p w14:paraId="040E1DD7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1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宋体" w:eastAsia="仿宋_GB2312" w:cs="Times New Roman"/>
          <w:color w:val="auto"/>
          <w:sz w:val="32"/>
          <w:szCs w:val="32"/>
          <w:highlight w:val="yellow"/>
          <w:lang w:val="en-US" w:eastAsia="zh-CN"/>
        </w:rPr>
      </w:pPr>
      <w:r>
        <w:rPr>
          <w:rFonts w:hint="eastAsia" w:ascii="黑体" w:hAnsi="宋体" w:eastAsia="黑体" w:cs="Times New Roman"/>
          <w:sz w:val="32"/>
          <w:szCs w:val="32"/>
          <w:lang w:val="en-US" w:eastAsia="zh-CN"/>
        </w:rPr>
        <w:t>三、</w:t>
      </w:r>
      <w:r>
        <w:rPr>
          <w:rFonts w:hint="eastAsia" w:ascii="黑体" w:hAnsi="宋体" w:eastAsia="黑体" w:cs="Times New Roman"/>
          <w:sz w:val="32"/>
          <w:szCs w:val="32"/>
        </w:rPr>
        <w:t>下半年工</w:t>
      </w:r>
      <w:r>
        <w:rPr>
          <w:rFonts w:hint="eastAsia" w:ascii="黑体" w:hAnsi="宋体" w:eastAsia="黑体"/>
          <w:sz w:val="32"/>
          <w:szCs w:val="32"/>
        </w:rPr>
        <w:t>作计划</w:t>
      </w:r>
    </w:p>
    <w:p w14:paraId="498B55CD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1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各位代表，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在镇党委的坚强领导下，在镇人大的监督和指导下，我镇财政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工作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取得了一定成绩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，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但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也必须清醒地认识到，当前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财政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工作依然面临着困难与挑战：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一是财源培育基础不够牢固</w:t>
      </w:r>
      <w:r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新兴经济增长点尚处于培育阶段，新增税源还未同步形成，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财源转化还需提速。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是财政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调控保障压力较大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各领域对财政资金的需求大幅增加，特别是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一般性支出、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民生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保障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等领域支出压力持续加大，财政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调控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保障能力持续承压。</w:t>
      </w:r>
      <w:r>
        <w:rPr>
          <w:rFonts w:hint="eastAsia" w:ascii="仿宋_GB2312" w:hAnsi="宋体" w:eastAsia="仿宋_GB2312"/>
          <w:sz w:val="32"/>
          <w:szCs w:val="32"/>
        </w:rPr>
        <w:t>在镇党委的正确领导下，我们将加倍努力、积极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作为</w:t>
      </w:r>
      <w:r>
        <w:rPr>
          <w:rFonts w:hint="eastAsia" w:ascii="仿宋_GB2312" w:hAnsi="宋体" w:eastAsia="仿宋_GB2312"/>
          <w:sz w:val="32"/>
          <w:szCs w:val="32"/>
        </w:rPr>
        <w:t>，加大招商引资力度，实施有效的开源节流工作措施，确保全年各项工作目标顺利完成。</w:t>
      </w:r>
    </w:p>
    <w:p w14:paraId="1D548155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bottom w:val="single" w:color="FFFFFF" w:sz="4" w:space="11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outlineLvl w:val="9"/>
        <w:rPr>
          <w:rFonts w:hint="eastAsia" w:ascii="楷体_GB2312" w:hAnsi="楷体_GB2312" w:eastAsia="楷体_GB2312" w:cs="楷体_GB2312"/>
          <w:sz w:val="32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狠抓财政收入，增强财政保障能力</w:t>
      </w:r>
    </w:p>
    <w:p w14:paraId="0565EB0A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1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仿宋_GB2312" w:hAnsi="仿宋_GB2312" w:eastAsia="仿宋_GB2312" w:cs="仿宋_GB2312"/>
          <w:color w:val="0000FF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加强与税收部门协同联动，建立健全税源动态监控和分析机制。关注重点行业、重点企业和重点项目税收指标，精准挖潜，确保税收应收尽收。围绕区委提出的“三生”融合发展和生命健康产业发展规划的总布局，配合开展清查、整合土地、盘活闲置资源，增加财政收入。围绕全域发展格局，抢抓灾后恢复项目及“百千工程”建设机遇，树立北庄生态品牌，逐步探索生态价值转换新模式，吸引生态环保类企业入驻。扩充财政收入来源。</w:t>
      </w:r>
    </w:p>
    <w:p w14:paraId="6F016D7E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bottom w:val="single" w:color="FFFFFF" w:sz="4" w:space="11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outlineLvl w:val="9"/>
        <w:rPr>
          <w:rFonts w:hint="eastAsia" w:ascii="楷体_GB2312" w:hAnsi="楷体_GB2312" w:eastAsia="楷体_GB2312" w:cs="楷体_GB2312"/>
          <w:sz w:val="32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加强预算管理，提升财政管理水平</w:t>
      </w:r>
    </w:p>
    <w:p w14:paraId="3D7F6874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1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严格执行年度预算，进一步规范财政管理，强化监督约束、预算约束。加强绩效评估管理，提高财政调控水平。严格按年初预算和项目实际情况执行预算，合理安排预算支出，保持合理支出进度。强化财政专项资金预算管理，特别是对灾后重建项目资金的审核及拨付，严格遵守资金拨付制度和程序，提高抗洪抢险及镇域灾后重建能力。坚持兜牢“三保”底线（保基本民生、保工资、保运转），严格控制“三公”经费与行政运行成本。</w:t>
      </w:r>
    </w:p>
    <w:p w14:paraId="357EAB4D">
      <w:pPr>
        <w:keepNext w:val="0"/>
        <w:keepLines w:val="0"/>
        <w:pageBreakBefore w:val="0"/>
        <w:widowControl w:val="0"/>
        <w:pBdr>
          <w:bottom w:val="single" w:color="FFFFFF" w:sz="4" w:space="11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outlineLvl w:val="9"/>
        <w:rPr>
          <w:rFonts w:hint="default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三</w:t>
      </w:r>
      <w:r>
        <w:rPr>
          <w:rFonts w:hint="eastAsia" w:ascii="楷体_GB2312" w:hAnsi="楷体_GB2312" w:eastAsia="楷体_GB2312" w:cs="楷体_GB2312"/>
          <w:sz w:val="32"/>
          <w:szCs w:val="32"/>
        </w:rPr>
        <w:t>）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强化资金监管，确保资金安全运行</w:t>
      </w:r>
    </w:p>
    <w:p w14:paraId="5C546098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1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充分发挥基层财政监管职能。规范镇级财政账户设置和会计核算，规范各类票据管理。量化、细化乡镇财政资金监管任务和责任。加强镇村两级财务监管，定期开展财政资金安全检查和专项督察，特别是加强对涉农资金、项目资金的监督管理。依托预算管理一体化系统开展信息化监管，自觉接受人大监督，严格执行人大审查批准的预算，保障财政资金运行安全规范。</w:t>
      </w:r>
    </w:p>
    <w:p w14:paraId="6DFDC1F1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11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baseline"/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以上报告，提请大会审议。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DF9351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41F045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941F045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4FC8EA"/>
    <w:multiLevelType w:val="singleLevel"/>
    <w:tmpl w:val="A54FC8EA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AE5617DB"/>
    <w:multiLevelType w:val="singleLevel"/>
    <w:tmpl w:val="AE5617DB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C96678"/>
    <w:rsid w:val="00F72CA9"/>
    <w:rsid w:val="01D95F0B"/>
    <w:rsid w:val="01E132F9"/>
    <w:rsid w:val="01FB6DA7"/>
    <w:rsid w:val="022278B2"/>
    <w:rsid w:val="023D0B8F"/>
    <w:rsid w:val="02857679"/>
    <w:rsid w:val="02AD7AC3"/>
    <w:rsid w:val="036F6B27"/>
    <w:rsid w:val="041818F7"/>
    <w:rsid w:val="055C7BF2"/>
    <w:rsid w:val="056137CE"/>
    <w:rsid w:val="06071298"/>
    <w:rsid w:val="06113FE7"/>
    <w:rsid w:val="08CE2541"/>
    <w:rsid w:val="08D00A68"/>
    <w:rsid w:val="0B586924"/>
    <w:rsid w:val="0B6A61C1"/>
    <w:rsid w:val="0B865355"/>
    <w:rsid w:val="0B9C17CD"/>
    <w:rsid w:val="0C040F0D"/>
    <w:rsid w:val="0CA35A93"/>
    <w:rsid w:val="0D3D7C96"/>
    <w:rsid w:val="0DAA05D2"/>
    <w:rsid w:val="0DB729D1"/>
    <w:rsid w:val="0E2A021A"/>
    <w:rsid w:val="0E462B7A"/>
    <w:rsid w:val="0E6354DA"/>
    <w:rsid w:val="0EB84C8D"/>
    <w:rsid w:val="0F426B12"/>
    <w:rsid w:val="10DE62E5"/>
    <w:rsid w:val="118714DF"/>
    <w:rsid w:val="11CC0366"/>
    <w:rsid w:val="1283614B"/>
    <w:rsid w:val="135B70C7"/>
    <w:rsid w:val="13CB7DA9"/>
    <w:rsid w:val="13FF3EF7"/>
    <w:rsid w:val="14263231"/>
    <w:rsid w:val="14883EEC"/>
    <w:rsid w:val="155C1410"/>
    <w:rsid w:val="15C947BC"/>
    <w:rsid w:val="16EA49EA"/>
    <w:rsid w:val="186B2207"/>
    <w:rsid w:val="18DC2587"/>
    <w:rsid w:val="1A2A15A2"/>
    <w:rsid w:val="1B22533A"/>
    <w:rsid w:val="1C7F5BD5"/>
    <w:rsid w:val="1C8168B4"/>
    <w:rsid w:val="1CB87339"/>
    <w:rsid w:val="1CC454C5"/>
    <w:rsid w:val="1CEE2D5A"/>
    <w:rsid w:val="1D6E17A5"/>
    <w:rsid w:val="1D814CBF"/>
    <w:rsid w:val="1DED3012"/>
    <w:rsid w:val="1DF24184"/>
    <w:rsid w:val="1E2D340E"/>
    <w:rsid w:val="1E2F2C87"/>
    <w:rsid w:val="1FB02549"/>
    <w:rsid w:val="1FD955FC"/>
    <w:rsid w:val="200603BB"/>
    <w:rsid w:val="201C3240"/>
    <w:rsid w:val="20704154"/>
    <w:rsid w:val="21333432"/>
    <w:rsid w:val="21CE3B42"/>
    <w:rsid w:val="22462CF1"/>
    <w:rsid w:val="22673393"/>
    <w:rsid w:val="22A85447"/>
    <w:rsid w:val="23137077"/>
    <w:rsid w:val="23675615"/>
    <w:rsid w:val="2479676D"/>
    <w:rsid w:val="248845EB"/>
    <w:rsid w:val="259326F1"/>
    <w:rsid w:val="26555BF8"/>
    <w:rsid w:val="265E685B"/>
    <w:rsid w:val="26942E64"/>
    <w:rsid w:val="27473793"/>
    <w:rsid w:val="27624129"/>
    <w:rsid w:val="27C05CDB"/>
    <w:rsid w:val="27CD209A"/>
    <w:rsid w:val="280F47D9"/>
    <w:rsid w:val="2874335E"/>
    <w:rsid w:val="288051AE"/>
    <w:rsid w:val="29302B74"/>
    <w:rsid w:val="29BB309A"/>
    <w:rsid w:val="29C14123"/>
    <w:rsid w:val="29FD0319"/>
    <w:rsid w:val="2A4979EE"/>
    <w:rsid w:val="2B524FD6"/>
    <w:rsid w:val="2BB46F1D"/>
    <w:rsid w:val="2BDA4BD6"/>
    <w:rsid w:val="2BDE3F9A"/>
    <w:rsid w:val="2BE041B6"/>
    <w:rsid w:val="2BF81500"/>
    <w:rsid w:val="2C025EDA"/>
    <w:rsid w:val="2C6D7E6F"/>
    <w:rsid w:val="2CB01DDA"/>
    <w:rsid w:val="2D792512"/>
    <w:rsid w:val="2E3D58F0"/>
    <w:rsid w:val="2E734966"/>
    <w:rsid w:val="2EC1611A"/>
    <w:rsid w:val="2EEF390C"/>
    <w:rsid w:val="2EF35FAE"/>
    <w:rsid w:val="2F3E04FF"/>
    <w:rsid w:val="2F4800A8"/>
    <w:rsid w:val="323857E6"/>
    <w:rsid w:val="32817CE7"/>
    <w:rsid w:val="336A0D03"/>
    <w:rsid w:val="336B6A5B"/>
    <w:rsid w:val="340C1D01"/>
    <w:rsid w:val="34C96678"/>
    <w:rsid w:val="350E3B42"/>
    <w:rsid w:val="35252BA6"/>
    <w:rsid w:val="36A54032"/>
    <w:rsid w:val="36E508D2"/>
    <w:rsid w:val="37253EC0"/>
    <w:rsid w:val="378007A7"/>
    <w:rsid w:val="37B409D1"/>
    <w:rsid w:val="38E31F75"/>
    <w:rsid w:val="390E7689"/>
    <w:rsid w:val="395064D7"/>
    <w:rsid w:val="396E2E01"/>
    <w:rsid w:val="3A161239"/>
    <w:rsid w:val="3B5F6EA5"/>
    <w:rsid w:val="3BD604A5"/>
    <w:rsid w:val="3CD411CD"/>
    <w:rsid w:val="3D365719"/>
    <w:rsid w:val="3D410B4E"/>
    <w:rsid w:val="3D5016C7"/>
    <w:rsid w:val="3D8C5F4C"/>
    <w:rsid w:val="3DE827D2"/>
    <w:rsid w:val="3DF04B24"/>
    <w:rsid w:val="3E0930F8"/>
    <w:rsid w:val="3F1C4E5C"/>
    <w:rsid w:val="40F47C3F"/>
    <w:rsid w:val="423B00DD"/>
    <w:rsid w:val="42A21E75"/>
    <w:rsid w:val="42DE59E4"/>
    <w:rsid w:val="43465C3A"/>
    <w:rsid w:val="43C106F5"/>
    <w:rsid w:val="4418035F"/>
    <w:rsid w:val="45196317"/>
    <w:rsid w:val="45433394"/>
    <w:rsid w:val="4605689B"/>
    <w:rsid w:val="46541EBF"/>
    <w:rsid w:val="471131E3"/>
    <w:rsid w:val="485A1120"/>
    <w:rsid w:val="48F21359"/>
    <w:rsid w:val="48FE6515"/>
    <w:rsid w:val="49AA33A7"/>
    <w:rsid w:val="4AB77A56"/>
    <w:rsid w:val="4AE65BCD"/>
    <w:rsid w:val="4B683B54"/>
    <w:rsid w:val="4DD97E04"/>
    <w:rsid w:val="4E2E4952"/>
    <w:rsid w:val="4EBB043F"/>
    <w:rsid w:val="4EFE4AF3"/>
    <w:rsid w:val="4F177EFF"/>
    <w:rsid w:val="501A2F43"/>
    <w:rsid w:val="50A3118B"/>
    <w:rsid w:val="50DE0415"/>
    <w:rsid w:val="534327B1"/>
    <w:rsid w:val="537F2A7B"/>
    <w:rsid w:val="54F16968"/>
    <w:rsid w:val="5511700B"/>
    <w:rsid w:val="55B81938"/>
    <w:rsid w:val="571406EC"/>
    <w:rsid w:val="57272B15"/>
    <w:rsid w:val="57811CE1"/>
    <w:rsid w:val="587873A1"/>
    <w:rsid w:val="58D565A1"/>
    <w:rsid w:val="590D1897"/>
    <w:rsid w:val="598A6393"/>
    <w:rsid w:val="5A094754"/>
    <w:rsid w:val="5A6F20DD"/>
    <w:rsid w:val="5C1318BA"/>
    <w:rsid w:val="5C286A9A"/>
    <w:rsid w:val="5C837DF9"/>
    <w:rsid w:val="5CC57E2D"/>
    <w:rsid w:val="5D7A3273"/>
    <w:rsid w:val="5E1C432A"/>
    <w:rsid w:val="5F4D6E91"/>
    <w:rsid w:val="5F6045E7"/>
    <w:rsid w:val="5F830B05"/>
    <w:rsid w:val="6082700E"/>
    <w:rsid w:val="626F35C2"/>
    <w:rsid w:val="6417295D"/>
    <w:rsid w:val="642F3009"/>
    <w:rsid w:val="64E33DF4"/>
    <w:rsid w:val="652341F0"/>
    <w:rsid w:val="65480500"/>
    <w:rsid w:val="661F07A5"/>
    <w:rsid w:val="6707201B"/>
    <w:rsid w:val="690B301D"/>
    <w:rsid w:val="693469CC"/>
    <w:rsid w:val="6B790EAD"/>
    <w:rsid w:val="6C3824A5"/>
    <w:rsid w:val="6C8B0FF9"/>
    <w:rsid w:val="6D405F74"/>
    <w:rsid w:val="6EA04246"/>
    <w:rsid w:val="6EB50F8A"/>
    <w:rsid w:val="6F3E5FCD"/>
    <w:rsid w:val="6F542632"/>
    <w:rsid w:val="6FE85307"/>
    <w:rsid w:val="70A26535"/>
    <w:rsid w:val="70BC3E77"/>
    <w:rsid w:val="70D80585"/>
    <w:rsid w:val="719C15B2"/>
    <w:rsid w:val="72930C07"/>
    <w:rsid w:val="73290B25"/>
    <w:rsid w:val="743B1556"/>
    <w:rsid w:val="74AF5AA0"/>
    <w:rsid w:val="74DD616A"/>
    <w:rsid w:val="74E43F48"/>
    <w:rsid w:val="75271ADB"/>
    <w:rsid w:val="76C43A85"/>
    <w:rsid w:val="77813724"/>
    <w:rsid w:val="78177BE5"/>
    <w:rsid w:val="7863107C"/>
    <w:rsid w:val="78D34653"/>
    <w:rsid w:val="794A5D98"/>
    <w:rsid w:val="7A8157FB"/>
    <w:rsid w:val="7A925C48"/>
    <w:rsid w:val="7AB1524D"/>
    <w:rsid w:val="7BAC4AE8"/>
    <w:rsid w:val="7C5C02BC"/>
    <w:rsid w:val="7D240E8C"/>
    <w:rsid w:val="7D41164E"/>
    <w:rsid w:val="7D545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9"/>
    <w:basedOn w:val="1"/>
    <w:next w:val="1"/>
    <w:qFormat/>
    <w:uiPriority w:val="0"/>
    <w:pPr>
      <w:ind w:left="1600" w:leftChars="1600"/>
    </w:pPr>
    <w:rPr>
      <w:rFonts w:ascii="等线" w:hAnsi="等线" w:eastAsia="等线" w:cs="Times New Roma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标题3"/>
    <w:basedOn w:val="1"/>
    <w:qFormat/>
    <w:uiPriority w:val="0"/>
    <w:pPr>
      <w:spacing w:line="360" w:lineRule="auto"/>
      <w:jc w:val="center"/>
    </w:pPr>
    <w:rPr>
      <w:rFonts w:ascii="仿宋_GB2312" w:eastAsia="仿宋_GB2312"/>
      <w:color w:val="FF000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2208</Words>
  <Characters>2606</Characters>
  <Lines>0</Lines>
  <Paragraphs>0</Paragraphs>
  <TotalTime>0</TotalTime>
  <ScaleCrop>false</ScaleCrop>
  <LinksUpToDate>false</LinksUpToDate>
  <CharactersWithSpaces>2614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2025-07-23T03:59:00Z</dcterms:created>
  <dc:creator>办公室02</dc:creator>
  <cp:lastModifiedBy>罗丹</cp:lastModifiedBy>
  <dcterms:modified xsi:type="dcterms:W3CDTF">2026-08-18T02:31:37Z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eyJoZGlkIjoiZWZkZjQyMDRmZTc4MWI4NjExNDI2MjI1OTUyOGJjMWYiLCJ1c2VySWQiOiI1Mjk2ODc4MjUifQ==</vt:lpwstr>
  </property>
  <property fmtid="{D5CDD505-2E9C-101B-9397-08002B2CF9AE}" pid="4" name="ICV">
    <vt:lpwstr>2609D8CEBB224890A5A283E5DDB2F1EA_12</vt:lpwstr>
  </property>
</Properties>
</file>