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DC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北京市密云区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北庄镇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人民政府关于</w:t>
      </w:r>
    </w:p>
    <w:p w14:paraId="6C52B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2025年镇级决算草案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的报告</w:t>
      </w:r>
    </w:p>
    <w:p w14:paraId="627EB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——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日在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北庄镇第二届人民代表大会</w:t>
      </w:r>
    </w:p>
    <w:p w14:paraId="3BF52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第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次会议上</w:t>
      </w:r>
    </w:p>
    <w:p w14:paraId="7DF41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北庄镇经济发展办公室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刘润东</w:t>
      </w:r>
    </w:p>
    <w:p w14:paraId="0E4F0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</w:p>
    <w:p w14:paraId="490AC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各位代表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 w14:paraId="462CC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北庄镇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人民政府委托，向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北庄镇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年决算情况，请予审议。</w:t>
      </w:r>
    </w:p>
    <w:p w14:paraId="2AC92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决算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 w14:paraId="41E91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，我镇在镇党委的坚强领导下，在镇人大的监督下，严格落实市委市政府、区委区政府各项决策部署和工作要求，加强财政资源整合统筹，努力克服收支平衡压力大等困难，全力做好资金保障，财政整体运行平稳，较好完成了年度目标任务。</w:t>
      </w:r>
    </w:p>
    <w:p w14:paraId="4001629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一）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一般公共预算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收入情况</w:t>
      </w:r>
    </w:p>
    <w:p w14:paraId="5D8C4C6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</w:rPr>
        <w:t>全镇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  <w:lang w:val="en-US" w:eastAsia="zh-CN"/>
        </w:rPr>
        <w:t>当年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</w:rPr>
        <w:t>一般公共预算收入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  <w:lang w:val="en-US" w:eastAsia="zh-CN"/>
        </w:rPr>
        <w:t>25882.39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</w:rPr>
        <w:t>万元，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  <w:lang w:eastAsia="zh-CN"/>
        </w:rPr>
        <w:t>比上年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  <w:lang w:val="en-US" w:eastAsia="zh-CN"/>
        </w:rPr>
        <w:t>增长143.89%，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</w:rPr>
        <w:t>其中：财政收入完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u w:val="none" w:color="auto"/>
        </w:rPr>
        <w:t>成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u w:val="none" w:color="auto"/>
          <w:lang w:val="en-US" w:eastAsia="zh-CN"/>
        </w:rPr>
        <w:t>4219.16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u w:val="none" w:color="auto"/>
        </w:rPr>
        <w:t>万元，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完成年度任务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的103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%，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与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去年同期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持平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u w:val="none" w:color="auto"/>
        </w:rPr>
        <w:t>财政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</w:rPr>
        <w:t>体制及转移支付资金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  <w:lang w:val="en-US" w:eastAsia="zh-CN"/>
        </w:rPr>
        <w:t>5696.27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</w:rPr>
        <w:t>万元，专项资金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  <w:lang w:val="en-US" w:eastAsia="zh-CN"/>
        </w:rPr>
        <w:t>20186.12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</w:rPr>
        <w:t>万元。</w:t>
      </w:r>
    </w:p>
    <w:p w14:paraId="65232EE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税收收入基本情况</w:t>
      </w:r>
    </w:p>
    <w:p w14:paraId="30C505C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  <w:t>税收收入完成3318.84万元，比上年减少443.12万元，减幅12%，占镇财政收入79%.</w:t>
      </w:r>
    </w:p>
    <w:p w14:paraId="704B9B7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3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非税收入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基本情况</w:t>
      </w:r>
    </w:p>
    <w:p w14:paraId="481E3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23"/>
        <w:rPr>
          <w:rFonts w:hint="eastAsia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非税收入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完成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900.32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万元，比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上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增加442.96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万元，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增幅97%，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占镇财政收入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 xml:space="preserve">%。 </w:t>
      </w:r>
      <w:r>
        <w:rPr>
          <w:rFonts w:hint="eastAsia" w:ascii="仿宋_GB2312" w:hAnsi="宋体" w:eastAsia="仿宋_GB2312"/>
          <w:sz w:val="32"/>
          <w:szCs w:val="32"/>
        </w:rPr>
        <w:t xml:space="preserve"> </w:t>
      </w:r>
    </w:p>
    <w:p w14:paraId="6D4A34A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一般公共预算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支出情况</w:t>
      </w:r>
    </w:p>
    <w:p w14:paraId="2B10DE8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u w:val="none" w:color="auto"/>
        </w:rPr>
        <w:t>一般公共预算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支出25882.39万元。其中：体制资金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5696.27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万元，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专项支出20186.12万元，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u w:val="none" w:color="auto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一般公共预算收支平衡。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具体情况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：</w:t>
      </w:r>
    </w:p>
    <w:p w14:paraId="39D73E1C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财政支出情况</w:t>
      </w:r>
    </w:p>
    <w:p w14:paraId="73A3336B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宋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1）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一般公共服务支出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3614.2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万元，占财政支出的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%，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用于保障机关正常履职的人员经费、公用经费。</w:t>
      </w:r>
    </w:p>
    <w:p w14:paraId="23479A2C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文化旅游体育与传媒支出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250.61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万元，占财政支出的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0.97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%，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主要用于推动公共文化服务体系建设，组织丰富多彩的群众文化活动，持续推进文旅深度融合；加强体育、文化设施建设，营造全民健身、全民参与的良好体育氛围。</w:t>
      </w:r>
    </w:p>
    <w:p w14:paraId="7DA268A7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宋体" w:eastAsia="仿宋_GB2312" w:cs="Times New Roman"/>
          <w:color w:val="auto"/>
          <w:sz w:val="32"/>
          <w:szCs w:val="32"/>
          <w:lang w:val="en-US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3）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614.92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万元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占财政支出的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2.4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%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完善多层次的社会保障体系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，安排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支农人员工资社保、</w:t>
      </w:r>
      <w:r>
        <w:rPr>
          <w:rFonts w:hint="eastAsia" w:ascii="仿宋_GB2312" w:hAnsi="华文中宋" w:eastAsia="仿宋_GB2312"/>
          <w:bCs/>
          <w:color w:val="auto"/>
          <w:sz w:val="32"/>
          <w:szCs w:val="32"/>
          <w:lang w:val="en-US" w:eastAsia="zh-CN"/>
        </w:rPr>
        <w:t>基本养老保险</w:t>
      </w:r>
      <w:r>
        <w:rPr>
          <w:rFonts w:hint="eastAsia" w:ascii="仿宋_GB2312" w:hAnsi="华文中宋" w:eastAsia="仿宋_GB2312"/>
          <w:bCs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华文中宋" w:eastAsia="仿宋_GB2312"/>
          <w:bCs/>
          <w:color w:val="auto"/>
          <w:sz w:val="32"/>
          <w:szCs w:val="32"/>
          <w:lang w:val="en-US" w:eastAsia="zh-CN"/>
        </w:rPr>
        <w:t>基本医疗保险等社会保险支出，以及民政残联、精神病人看护、补助等事务支出。</w:t>
      </w:r>
    </w:p>
    <w:p w14:paraId="653E2598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宋体" w:eastAsia="仿宋_GB2312" w:cs="Times New Roman"/>
          <w:color w:val="auto"/>
          <w:sz w:val="32"/>
          <w:szCs w:val="32"/>
          <w:lang w:val="en-US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133.78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万元,占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财政支出的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0.52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%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用于加强公共卫生体系建设，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足额保障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基本医疗保险经费及计生经费。</w:t>
      </w:r>
    </w:p>
    <w:p w14:paraId="4DC7825D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 w:cs="宋体"/>
          <w:strike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（5）节能环保支出8.05万元，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主要用于冬季清洁取暖项目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改善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我区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大气环境质量，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</w:rPr>
        <w:t>持续提升治污的科学化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</w:rPr>
        <w:t>精细化水平，更好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  <w:lang w:eastAsia="zh-CN"/>
        </w:rPr>
        <w:t>打造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</w:rPr>
        <w:t>践行“两山”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  <w:lang w:eastAsia="zh-CN"/>
        </w:rPr>
        <w:t>理论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</w:rPr>
        <w:t>的密云样板</w:t>
      </w:r>
      <w:r>
        <w:rPr>
          <w:rFonts w:hint="eastAsia" w:ascii="仿宋_GB2312" w:hAnsi="宋体" w:eastAsia="仿宋_GB2312" w:cs="宋体"/>
          <w:strike w:val="0"/>
          <w:color w:val="000000"/>
          <w:kern w:val="0"/>
          <w:sz w:val="32"/>
          <w:szCs w:val="32"/>
          <w:highlight w:val="none"/>
        </w:rPr>
        <w:t>。</w:t>
      </w:r>
    </w:p>
    <w:p w14:paraId="6A72EDAD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6）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城乡社区事务支出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676.45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万元，占财政支出的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2.61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%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用于推进违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  <w:lang w:val="en-US" w:eastAsia="zh-CN"/>
        </w:rPr>
        <w:t>建治理、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  <w:lang w:eastAsia="zh-CN"/>
        </w:rPr>
        <w:t>垃圾分类、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  <w:lang w:val="en-US" w:eastAsia="zh-CN"/>
        </w:rPr>
        <w:t>接诉即办、镇域事务运转等工作，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  <w:lang w:eastAsia="zh-CN"/>
        </w:rPr>
        <w:t>打造宜居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  <w:lang w:val="en-US" w:eastAsia="zh-CN"/>
        </w:rPr>
        <w:t>美丽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kern w:val="0"/>
          <w:sz w:val="32"/>
          <w:szCs w:val="32"/>
          <w:highlight w:val="none"/>
          <w:lang w:eastAsia="zh-CN"/>
        </w:rPr>
        <w:t>密云。</w:t>
      </w:r>
    </w:p>
    <w:p w14:paraId="3463137C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7）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农林水支出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4837.22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万元，占财政支出的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18.69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%，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用于严格落实保水保生态政治责任，深入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推进美丽乡村建设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及管护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大力保护和培育林业资源，支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持农业农村绿色产业发展。</w:t>
      </w:r>
    </w:p>
    <w:p w14:paraId="4A59CE49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6" w:firstLineChars="200"/>
        <w:textAlignment w:val="baseline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（8）交通运输支出17.85万元，主要用于乡村公路养护。</w:t>
      </w:r>
    </w:p>
    <w:p w14:paraId="16BA1FF4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6" w:firstLineChars="200"/>
        <w:textAlignment w:val="baseline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（9）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资源勘探工业信息等支出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6.59万，主要用于镇信息化能力提升建设。</w:t>
      </w:r>
    </w:p>
    <w:p w14:paraId="2E84F5E2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仿宋_GB2312" w:hAnsi="宋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10）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灾害防治及应急管理支出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15722.72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万元，占财政支出的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60.75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eastAsia="zh-CN"/>
        </w:rPr>
        <w:t>%，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主要用于“25.7”洪灾的救助及应急抢险和恢复建设。</w:t>
      </w:r>
    </w:p>
    <w:p w14:paraId="248EEA8D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主要支出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项目</w:t>
      </w:r>
    </w:p>
    <w:p w14:paraId="4DE183F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是环境提升及基础设施建设方面。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助力推动2024年疏整促项目-北庄镇清水河流域两侧村庄生态环境整治提升项目、北庄镇农村供排水及基础设施改造提升项目、密云区2024年山区村庄供水站标准化改造工程、密云区2025年度山区村庄供水站标准化改造工程、2025年污水及供水等美丽乡村建设等项目工程建设。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是乡村振兴及农业设施改造方面。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密云区“五好两宜”和美乡村试点试验北庄镇朱家湾村建设项目、2023年设施农业以奖代补项目、2025年中央财政衔接推进乡村振兴项目、2024年度农村基础设施管护资金、2025年农产品质量安全基层监管能力提升等项目顺利开展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三是文旅方面。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促进密云区北庄镇朱家湾村、北庄村文化大院维修改造及设备购置、北庄镇东庄村新时代文明实践站改造项目、乡情村史陈列室和农村精神文明宣传视屏、北庄镇文体中心恢复重建项目、北庄镇暖泉会村、朱家湾村、土门村、营房村综合文化室文化大院恢复重建等项目开展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四是灾后恢复及重建方面。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极端强降雨洪涝灾害救助资金发放到位，密云区应急恢复项目、密云区2025年乡村公路水毁修复工程（第一批）、北庄镇山洪沟道治理工程（第一批）、北庄镇山洪沟道水毁修复工程（第二批）、密云区2026年地质灾害领域一年基本恢复项目有序开展。</w:t>
      </w:r>
    </w:p>
    <w:p w14:paraId="440E01F2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（三）基金预算收支情况</w:t>
      </w:r>
    </w:p>
    <w:p w14:paraId="3122FE11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华文楷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华文楷体" w:eastAsia="仿宋_GB2312" w:cs="Times New Roman"/>
          <w:color w:val="auto"/>
          <w:sz w:val="32"/>
          <w:szCs w:val="32"/>
          <w:lang w:val="en-US" w:eastAsia="zh-CN"/>
        </w:rPr>
        <w:t>基金预算收入453.81万元，支出453.81万元。支出主要有：北庄镇农村供排水及基础设施改造提升项目399.40万元。</w:t>
      </w:r>
    </w:p>
    <w:p w14:paraId="715CA884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（四）一般债券支出情况</w:t>
      </w:r>
    </w:p>
    <w:p w14:paraId="2867D86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2025年一般债券收入1981.50万元，支出1981.50万元。支出主要有：2022年地质灾害治理项目1506.77万元，美丽乡村穆家峪镇西穆家峪村等132个村供水及污水前端收集系统建设工程212.87万元，密云区美丽乡村建设地上工程资金（2025年化债资金）121.02万元。</w:t>
      </w:r>
    </w:p>
    <w:p w14:paraId="08F0B478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（五）“三公”经费情况</w:t>
      </w:r>
    </w:p>
    <w:p w14:paraId="19C57B47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“三公”经费支出合计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19.28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年初预算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34.07万元的57%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深入贯彻中央八项规定精神，落实过“紧日子”要求，从严控制公务接待规模和接待标准，“三公”经费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中只发生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公务用车购置及运行维护费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，未发生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公务接待费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因公出国（境）费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公务用车运行维护费情况如下：车辆保险费1.67万元，加油费4万元，过桥过路费1.5万元，其他支出12.11万元，分别是公务用车租车费11.79万元、验车费0.32万元。</w:t>
      </w:r>
    </w:p>
    <w:p w14:paraId="2DD6464B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二、2025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年主要财税政策落实和重点财政工作情况</w:t>
      </w:r>
    </w:p>
    <w:p w14:paraId="6115B3ED">
      <w:pPr>
        <w:keepNext w:val="0"/>
        <w:keepLines w:val="0"/>
        <w:pageBreakBefore w:val="0"/>
        <w:widowControl w:val="0"/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1.增收入，做大做强财政蛋糕</w:t>
      </w:r>
    </w:p>
    <w:p w14:paraId="2F5916D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收入任务圆满完成。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全镇收入指标4100万元，实际完成收入4219.16万元，完成全年任务的103%；全年引进企业263家，较100家的目标任务超额163%；京外迁入企业5家，超额完成区级下发任务的25%；头部财源企业1家，完成任务的100%。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招商引资成效显著。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创新“靶向招商+以商招商”模式，聚焦文旅融合、生态农业、生命健康等主导产业，吸引83家医疗器械企业“拎包入驻”，全年缴纳增值税3657万元，实现财政收入640 万元，占镇级财政收入的15%；通过以商招商的形式，引入北京换新文化传媒有限公司、北京普维通文化传媒有限公司落地我镇，两家公司当年缴税410万元，形成财政收入68万元，实现当年引进当年缴税；以灾后重建为契机，引进9家施工单位的优质下游企业，为财政持续增长奠定基础，“两区”建设多项招商引资任务完成进度全区靠前。</w:t>
      </w:r>
    </w:p>
    <w:p w14:paraId="1C53DCE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2.强保障，兜牢兜稳“三保”底线</w:t>
      </w:r>
    </w:p>
    <w:p w14:paraId="5C207C1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default" w:ascii="仿宋_GB2312" w:hAnsi="宋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highlight w:val="none"/>
          <w:lang w:eastAsia="zh-CN"/>
        </w:rPr>
        <w:t>想方设法节约资金。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落实党政机关过“紧日子”要求，厉行节约，压减非刚性非重点一般性支出，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通过政府采购、财政评审等多种方式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节约资金，确保把每一分钱花在刀刃上。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切实兜牢“三保”底线。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20"/>
          <w:kern w:val="2"/>
          <w:sz w:val="32"/>
          <w:szCs w:val="32"/>
          <w:highlight w:val="none"/>
          <w:lang w:val="en-US" w:eastAsia="zh-CN" w:bidi="ar-SA"/>
        </w:rPr>
        <w:t>基本支出4551.88万元，其中工资福利支出3088.21万元，商品服务支出1463.67万元.完成基本工资、村干部基本报酬、编外人员工资、政府运转等支出的资金保障工作。</w:t>
      </w:r>
    </w:p>
    <w:p w14:paraId="07ED570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提效能，走深走实财政管理</w:t>
      </w:r>
    </w:p>
    <w:p w14:paraId="1168EE9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加强预算管理。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规范部门预算项目编制、入库、用款计划申请流程，从源头遏制各类资金执行慢、闲置浪费等现象。将项目绩效分析与部门预算编制挂钩，完成2024年度镇级财政运行综合绩效专项评价工作及2025年年中项目绩效跟踪评价工作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强化财政监督。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以专项审计整改为导向，针对管理薄弱环节，立行立改，追还长期借款，完善内控管理制度，加强内控管理，切实提升财务工作管理水平。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完善资产管理体系。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完成资产系统融入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预算管理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一体化系统工作，实现资产管理与相关业务模块的有效贯通，提高资产管理效率。</w:t>
      </w:r>
    </w:p>
    <w:p w14:paraId="44A1A89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预算执行管理中需要关注的问题及下一步工作</w:t>
      </w:r>
    </w:p>
    <w:p w14:paraId="1577001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2025年，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财政运行平稳有序，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但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也面临着一些困难和问题。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刚性支出持续增长，收支矛盾进一步加剧。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财政收入持续增长乏力，刚性需求不断增加，使住房公积金等支出保障压力较大。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是资金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率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有待提升。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项目支出手续规范性有待加强，资金管理还需更加规范。</w:t>
      </w:r>
    </w:p>
    <w:p w14:paraId="63ECF4A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下一步，我们将针对这些问题和不足，高度重视，采取有力措施，努力加以解决。</w:t>
      </w:r>
    </w:p>
    <w:p w14:paraId="32C3C59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聚焦挖潜增收，促进收入稳步增长</w:t>
      </w:r>
    </w:p>
    <w:p w14:paraId="692DE026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一是稳存量、防外迁。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自上而下多方位开展企业走访服务工作，积极帮助企业解决“难点、堵点、痛点”问题，用好财政收入和财源大数据系统，加大财源风险监测服务力度。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二是强招商、促增量。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围绕区委提出的生态、生命、生活“三生”融合发展和生命健康产业发展规划的总布局，在现有83家医疗器械企业的基础上，继续壮大医疗器械企业板块。持续推动与三方机构项目合作，尽快完成孵化园区合作协议签署，推动园区实质性启动运营，力争早日发挥服务企业、涵养税源的作用。</w:t>
      </w:r>
    </w:p>
    <w:p w14:paraId="604E5E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兜牢“三保”底线，促进机关有序运转</w:t>
      </w:r>
    </w:p>
    <w:p w14:paraId="6548EC63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坚决兜住“三保”底线，严控一般支出，牢固树立党政机关过紧日子的思想，优先落实重大民生政策，提高资金使用效益，确保民生支出足额保障到位，我镇切实控制和降低行政运行成本，将有限财政资金用在刀刃上，严格管控工程立项，筑牢债务风险防线，确保全镇社会健康稳步发展。</w:t>
      </w:r>
    </w:p>
    <w:p w14:paraId="35B020A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（三）加强统筹兼顾，促进资金提质增效</w:t>
      </w:r>
    </w:p>
    <w:p w14:paraId="5E0AC3B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一是加快支出进度。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定期调度各类资金支出进度，加强存量资金的盘活监控，督促各部门在确保工程质量的前提下，加快项目推进和资金拨付进度，尽快形成实物工作量，切实提高资金使用效益。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二是加大统筹整合。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统筹好转移支付、镇本级预算、债券、结余资金等财力来源，保障重大项目及刚性支出增长需求。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三是严控编外用工降低人工成本。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用好政府购买服务和委托外包，力争做到事由最少的人干，钱用最合适的标准保。</w:t>
      </w:r>
    </w:p>
    <w:p w14:paraId="07DE6B7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以上报告，提请大会审议。</w:t>
      </w:r>
      <w:r>
        <w:rPr>
          <w:rFonts w:hint="eastAsia"/>
          <w:color w:val="auto"/>
          <w:highlight w:val="none"/>
          <w:lang w:val="en-US" w:eastAsia="zh-CN"/>
        </w:rPr>
        <w:t xml:space="preserve">  </w:t>
      </w:r>
    </w:p>
    <w:p w14:paraId="0FBFD76B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CECF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36799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36799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E095D5"/>
    <w:multiLevelType w:val="singleLevel"/>
    <w:tmpl w:val="A8E095D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26150"/>
    <w:rsid w:val="00245594"/>
    <w:rsid w:val="0132783D"/>
    <w:rsid w:val="015E6697"/>
    <w:rsid w:val="0568307D"/>
    <w:rsid w:val="05DA5FB0"/>
    <w:rsid w:val="06771390"/>
    <w:rsid w:val="07B13108"/>
    <w:rsid w:val="089E3A0A"/>
    <w:rsid w:val="08E65ADD"/>
    <w:rsid w:val="08E73603"/>
    <w:rsid w:val="09FB45F7"/>
    <w:rsid w:val="0BB7550F"/>
    <w:rsid w:val="0D307327"/>
    <w:rsid w:val="0E341099"/>
    <w:rsid w:val="0F204EAA"/>
    <w:rsid w:val="0F615EBD"/>
    <w:rsid w:val="0FA4224E"/>
    <w:rsid w:val="10AA2DFA"/>
    <w:rsid w:val="111807FE"/>
    <w:rsid w:val="114C04A7"/>
    <w:rsid w:val="115F2868"/>
    <w:rsid w:val="11655F9D"/>
    <w:rsid w:val="16F974F0"/>
    <w:rsid w:val="179E27EA"/>
    <w:rsid w:val="19EA4320"/>
    <w:rsid w:val="19EF056A"/>
    <w:rsid w:val="1ADC0AEE"/>
    <w:rsid w:val="1AFC55F3"/>
    <w:rsid w:val="1BD10457"/>
    <w:rsid w:val="1BF63E31"/>
    <w:rsid w:val="1DB40A23"/>
    <w:rsid w:val="1E8A0861"/>
    <w:rsid w:val="23191DD6"/>
    <w:rsid w:val="2351194D"/>
    <w:rsid w:val="246102B6"/>
    <w:rsid w:val="247104F9"/>
    <w:rsid w:val="25245401"/>
    <w:rsid w:val="262275D1"/>
    <w:rsid w:val="28237D5C"/>
    <w:rsid w:val="2863070C"/>
    <w:rsid w:val="2A8C5AAD"/>
    <w:rsid w:val="2AF019E0"/>
    <w:rsid w:val="2B146082"/>
    <w:rsid w:val="2CF63C91"/>
    <w:rsid w:val="2D5B1A18"/>
    <w:rsid w:val="2D7921CC"/>
    <w:rsid w:val="2E586286"/>
    <w:rsid w:val="2F336870"/>
    <w:rsid w:val="2F904AFB"/>
    <w:rsid w:val="2FB15C4D"/>
    <w:rsid w:val="2FE14059"/>
    <w:rsid w:val="315A22D3"/>
    <w:rsid w:val="32BD6B31"/>
    <w:rsid w:val="33582884"/>
    <w:rsid w:val="33977850"/>
    <w:rsid w:val="342641E7"/>
    <w:rsid w:val="34A044E2"/>
    <w:rsid w:val="3687595A"/>
    <w:rsid w:val="387243E8"/>
    <w:rsid w:val="38BA2CB4"/>
    <w:rsid w:val="38F65019"/>
    <w:rsid w:val="3A3E27D3"/>
    <w:rsid w:val="3B696C9E"/>
    <w:rsid w:val="3F402B4A"/>
    <w:rsid w:val="40952DB9"/>
    <w:rsid w:val="40B57F39"/>
    <w:rsid w:val="425A03C6"/>
    <w:rsid w:val="45442C68"/>
    <w:rsid w:val="45F12DF0"/>
    <w:rsid w:val="48177640"/>
    <w:rsid w:val="4A54394D"/>
    <w:rsid w:val="4AF6238D"/>
    <w:rsid w:val="4BFE1DC3"/>
    <w:rsid w:val="4C8D3147"/>
    <w:rsid w:val="4DFA480C"/>
    <w:rsid w:val="4E0A0EF3"/>
    <w:rsid w:val="4E7C29CA"/>
    <w:rsid w:val="525A3ACB"/>
    <w:rsid w:val="560C1580"/>
    <w:rsid w:val="57A96A7F"/>
    <w:rsid w:val="5A221372"/>
    <w:rsid w:val="5BC6794C"/>
    <w:rsid w:val="5D3C099D"/>
    <w:rsid w:val="5D5C103F"/>
    <w:rsid w:val="5F4A2C8B"/>
    <w:rsid w:val="624125B1"/>
    <w:rsid w:val="631D48FC"/>
    <w:rsid w:val="632C1044"/>
    <w:rsid w:val="657807D5"/>
    <w:rsid w:val="65AB4911"/>
    <w:rsid w:val="677B45CB"/>
    <w:rsid w:val="679D64DC"/>
    <w:rsid w:val="6E212CB3"/>
    <w:rsid w:val="6F3F6824"/>
    <w:rsid w:val="6FE26150"/>
    <w:rsid w:val="709E3A43"/>
    <w:rsid w:val="72D93B82"/>
    <w:rsid w:val="74F94D0A"/>
    <w:rsid w:val="75BF1E57"/>
    <w:rsid w:val="77770AF7"/>
    <w:rsid w:val="785E5813"/>
    <w:rsid w:val="7AEC5358"/>
    <w:rsid w:val="7D044376"/>
    <w:rsid w:val="7D050953"/>
    <w:rsid w:val="7DE762AB"/>
    <w:rsid w:val="7F9B734D"/>
    <w:rsid w:val="7FB81CAD"/>
    <w:rsid w:val="7FD7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  <w:rPr>
      <w:rFonts w:ascii="等线" w:hAnsi="等线" w:eastAsia="等线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标题3"/>
    <w:basedOn w:val="1"/>
    <w:qFormat/>
    <w:uiPriority w:val="0"/>
    <w:pPr>
      <w:spacing w:line="360" w:lineRule="auto"/>
      <w:jc w:val="center"/>
    </w:pPr>
    <w:rPr>
      <w:rFonts w:ascii="仿宋_GB2312" w:eastAsia="仿宋_GB2312"/>
      <w:color w:val="FF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3482</Words>
  <Characters>3851</Characters>
  <Lines>0</Lines>
  <Paragraphs>0</Paragraphs>
  <TotalTime>9</TotalTime>
  <ScaleCrop>false</ScaleCrop>
  <LinksUpToDate>false</LinksUpToDate>
  <CharactersWithSpaces>3858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2025-07-23T03:58:00Z</dcterms:created>
  <dc:creator>办公室02</dc:creator>
  <cp:lastModifiedBy>罗丹</cp:lastModifiedBy>
  <cp:lastPrinted>2025-07-24T03:03:00Z</cp:lastPrinted>
  <dcterms:modified xsi:type="dcterms:W3CDTF">2026-08-18T02:30:43Z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eyJoZGlkIjoiZWZkZjQyMDRmZTc4MWI4NjExNDI2MjI1OTUyOGJjMWYiLCJ1c2VySWQiOiI1Mjk2ODc4MjUifQ==</vt:lpwstr>
  </property>
  <property fmtid="{D5CDD505-2E9C-101B-9397-08002B2CF9AE}" pid="4" name="ICV">
    <vt:lpwstr>CB6D11A1D0684CB6A3445E5D04886ECE_12</vt:lpwstr>
  </property>
</Properties>
</file>