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b/>
          <w:sz w:val="32"/>
          <w:szCs w:val="32"/>
        </w:rPr>
      </w:pP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p>
    <w:p>
      <w:pPr>
        <w:jc w:val="center"/>
        <w:rPr>
          <w:rFonts w:hint="eastAsia" w:ascii="黑体" w:eastAsia="黑体"/>
          <w:sz w:val="72"/>
          <w:szCs w:val="72"/>
          <w:lang w:eastAsia="zh-CN"/>
        </w:rPr>
      </w:pPr>
      <w:r>
        <w:rPr>
          <w:rFonts w:hint="eastAsia" w:ascii="黑体" w:eastAsia="黑体"/>
          <w:color w:val="auto"/>
          <w:sz w:val="72"/>
          <w:szCs w:val="72"/>
          <w:lang w:val="en-US" w:eastAsia="zh-CN"/>
        </w:rPr>
        <w:t>北京市密云区西田各庄镇</w:t>
      </w:r>
    </w:p>
    <w:p>
      <w:pPr>
        <w:jc w:val="center"/>
        <w:rPr>
          <w:rFonts w:hint="eastAsia" w:ascii="黑体" w:eastAsia="黑体"/>
          <w:sz w:val="72"/>
          <w:szCs w:val="72"/>
          <w:lang w:eastAsia="zh-CN"/>
        </w:rPr>
      </w:pPr>
      <w:r>
        <w:rPr>
          <w:rFonts w:hint="eastAsia" w:ascii="黑体" w:eastAsia="黑体"/>
          <w:sz w:val="72"/>
          <w:szCs w:val="72"/>
          <w:lang w:eastAsia="zh-CN"/>
        </w:rPr>
        <w:t>2025</w:t>
      </w:r>
      <w:r>
        <w:rPr>
          <w:rFonts w:hint="eastAsia" w:ascii="黑体" w:eastAsia="黑体"/>
          <w:sz w:val="72"/>
          <w:szCs w:val="72"/>
        </w:rPr>
        <w:t>年度部门决算</w:t>
      </w:r>
      <w:r>
        <w:rPr>
          <w:rFonts w:hint="eastAsia" w:ascii="黑体" w:eastAsia="黑体"/>
          <w:sz w:val="72"/>
          <w:szCs w:val="72"/>
          <w:lang w:eastAsia="zh-CN"/>
        </w:rPr>
        <w:t>报表及说明</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32"/>
          <w:szCs w:val="32"/>
        </w:rPr>
      </w:pPr>
    </w:p>
    <w:p>
      <w:pPr>
        <w:spacing w:line="500" w:lineRule="exact"/>
        <w:ind w:firstLine="645"/>
        <w:jc w:val="center"/>
        <w:rPr>
          <w:rFonts w:ascii="宋体" w:hAnsi="宋体" w:cs="宋体"/>
          <w:b/>
          <w:bCs/>
          <w:kern w:val="0"/>
          <w:sz w:val="44"/>
          <w:szCs w:val="36"/>
        </w:rPr>
      </w:pPr>
      <w:r>
        <w:rPr>
          <w:rFonts w:hint="eastAsia" w:ascii="宋体" w:hAnsi="宋体" w:cs="宋体"/>
          <w:b/>
          <w:bCs/>
          <w:kern w:val="0"/>
          <w:sz w:val="44"/>
          <w:szCs w:val="36"/>
        </w:rPr>
        <w:t>目    录</w:t>
      </w:r>
    </w:p>
    <w:p>
      <w:pPr>
        <w:spacing w:line="500" w:lineRule="exact"/>
        <w:ind w:firstLine="645"/>
        <w:jc w:val="center"/>
        <w:rPr>
          <w:rFonts w:hint="eastAsia" w:ascii="宋体" w:hAnsi="宋体" w:cs="宋体"/>
          <w:b/>
          <w:bCs/>
          <w:kern w:val="0"/>
          <w:sz w:val="36"/>
          <w:szCs w:val="36"/>
        </w:rPr>
      </w:pPr>
    </w:p>
    <w:p>
      <w:pPr>
        <w:tabs>
          <w:tab w:val="center" w:pos="6979"/>
        </w:tabs>
        <w:spacing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hint="eastAsia" w:ascii="宋体" w:hAnsi="宋体" w:cs="宋体"/>
          <w:bCs/>
          <w:spacing w:val="40"/>
          <w:kern w:val="0"/>
          <w:sz w:val="32"/>
          <w:szCs w:val="32"/>
          <w:lang w:val="en-US" w:eastAsia="zh-CN"/>
        </w:rPr>
        <w:t>5</w:t>
      </w:r>
      <w:r>
        <w:rPr>
          <w:rFonts w:hint="eastAsia" w:ascii="宋体" w:hAnsi="宋体" w:cs="宋体"/>
          <w:bCs/>
          <w:spacing w:val="40"/>
          <w:kern w:val="0"/>
          <w:sz w:val="32"/>
          <w:szCs w:val="32"/>
        </w:rPr>
        <w:t>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八</w:t>
      </w:r>
      <w:r>
        <w:rPr>
          <w:rFonts w:hint="eastAsia" w:ascii="仿宋_GB2312" w:hAnsi="仿宋" w:eastAsia="仿宋_GB2312" w:cs="宋体"/>
          <w:bCs/>
          <w:spacing w:val="40"/>
          <w:kern w:val="0"/>
          <w:sz w:val="32"/>
          <w:szCs w:val="32"/>
        </w:rPr>
        <w:t>、</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九</w:t>
      </w:r>
      <w:r>
        <w:rPr>
          <w:rFonts w:hint="eastAsia" w:ascii="仿宋_GB2312" w:hAnsi="仿宋" w:eastAsia="仿宋_GB2312" w:cs="宋体"/>
          <w:bCs/>
          <w:spacing w:val="40"/>
          <w:kern w:val="0"/>
          <w:sz w:val="32"/>
          <w:szCs w:val="32"/>
        </w:rPr>
        <w:t>、国有资本经营预算财政拨款支出决算表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hint="eastAsia" w:ascii="宋体" w:hAnsi="宋体"/>
          <w:spacing w:val="40"/>
          <w:sz w:val="32"/>
          <w:szCs w:val="32"/>
          <w:lang w:val="en-US" w:eastAsia="zh-CN"/>
        </w:rPr>
        <w:t>5</w:t>
      </w:r>
      <w:r>
        <w:rPr>
          <w:rFonts w:hint="eastAsia" w:ascii="宋体" w:hAnsi="宋体"/>
          <w:spacing w:val="40"/>
          <w:sz w:val="32"/>
          <w:szCs w:val="32"/>
        </w:rPr>
        <w:t>年度部门决算说明</w:t>
      </w:r>
    </w:p>
    <w:p>
      <w:pPr>
        <w:tabs>
          <w:tab w:val="center" w:pos="6979"/>
        </w:tabs>
        <w:spacing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hint="eastAsia" w:ascii="宋体" w:hAnsi="宋体"/>
          <w:spacing w:val="40"/>
          <w:sz w:val="32"/>
          <w:szCs w:val="32"/>
          <w:lang w:val="en-US" w:eastAsia="zh-CN"/>
        </w:rPr>
        <w:t>5</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hint="eastAsia" w:ascii="宋体" w:hAnsi="宋体" w:cs="宋体"/>
          <w:spacing w:val="40"/>
          <w:kern w:val="0"/>
          <w:sz w:val="32"/>
          <w:szCs w:val="32"/>
          <w:lang w:val="en-US" w:eastAsia="zh-CN"/>
        </w:rPr>
        <w:t>5</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44"/>
          <w:szCs w:val="44"/>
        </w:rPr>
        <w:t xml:space="preserve">第一部分 </w:t>
      </w:r>
      <w:r>
        <w:rPr>
          <w:rFonts w:hint="eastAsia" w:ascii="宋体" w:hAnsi="宋体" w:cs="宋体"/>
          <w:b/>
          <w:bCs/>
          <w:spacing w:val="40"/>
          <w:kern w:val="0"/>
          <w:sz w:val="44"/>
          <w:szCs w:val="44"/>
          <w:lang w:eastAsia="zh-CN"/>
        </w:rPr>
        <w:t>2025</w:t>
      </w:r>
      <w:r>
        <w:rPr>
          <w:rFonts w:hint="eastAsia" w:ascii="宋体" w:hAnsi="宋体" w:cs="宋体"/>
          <w:b/>
          <w:bCs/>
          <w:spacing w:val="40"/>
          <w:kern w:val="0"/>
          <w:sz w:val="44"/>
          <w:szCs w:val="44"/>
        </w:rPr>
        <w:t>年度部门决算报表</w:t>
      </w:r>
    </w:p>
    <w:p>
      <w:pPr>
        <w:pStyle w:val="2"/>
        <w:rPr>
          <w:b w:val="0"/>
          <w:bCs w:val="0"/>
        </w:rPr>
        <w:sectPr>
          <w:footerReference r:id="rId3" w:type="default"/>
          <w:pgSz w:w="16838" w:h="11906" w:orient="landscape"/>
          <w:pgMar w:top="1134" w:right="1134" w:bottom="1134" w:left="1134" w:header="851" w:footer="992" w:gutter="0"/>
          <w:cols w:space="720" w:num="1"/>
          <w:docGrid w:type="linesAndChars" w:linePitch="312" w:charSpace="0"/>
        </w:sectPr>
      </w:pPr>
      <w:r>
        <w:rPr>
          <w:rFonts w:hint="eastAsia" w:ascii="仿宋_GB2312" w:eastAsia="仿宋_GB2312"/>
          <w:sz w:val="28"/>
          <w:szCs w:val="28"/>
        </w:rPr>
        <w:t xml:space="preserve">   </w:t>
      </w:r>
      <w:r>
        <w:rPr>
          <w:rFonts w:hint="eastAsia" w:ascii="仿宋_GB2312" w:eastAsia="仿宋_GB2312"/>
          <w:b w:val="0"/>
          <w:bCs w:val="0"/>
          <w:sz w:val="28"/>
          <w:szCs w:val="28"/>
        </w:rPr>
        <w:t>报表详见附件。</w:t>
      </w: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lang w:eastAsia="zh-CN"/>
        </w:rPr>
        <w:t>2025</w:t>
      </w:r>
      <w:r>
        <w:rPr>
          <w:rFonts w:hint="eastAsia" w:ascii="宋体" w:hAnsi="宋体"/>
          <w:b/>
          <w:spacing w:val="40"/>
          <w:sz w:val="32"/>
          <w:szCs w:val="32"/>
        </w:rPr>
        <w:t>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一、部门基本情况</w:t>
      </w:r>
    </w:p>
    <w:p>
      <w:pPr>
        <w:tabs>
          <w:tab w:val="center" w:pos="6979"/>
        </w:tabs>
        <w:spacing w:line="580" w:lineRule="exact"/>
        <w:ind w:firstLine="700" w:firstLineChars="250"/>
        <w:rPr>
          <w:rFonts w:hint="eastAsia" w:ascii="仿宋_GB2312" w:eastAsia="仿宋_GB2312"/>
          <w:sz w:val="28"/>
          <w:szCs w:val="28"/>
          <w:highlight w:val="none"/>
          <w:lang w:eastAsia="zh-CN"/>
        </w:rPr>
      </w:pPr>
      <w:r>
        <w:rPr>
          <w:rFonts w:hint="eastAsia" w:ascii="仿宋_GB2312" w:eastAsia="仿宋_GB2312"/>
          <w:sz w:val="28"/>
          <w:szCs w:val="28"/>
          <w:highlight w:val="none"/>
        </w:rPr>
        <w:t>（一</w:t>
      </w:r>
      <w:r>
        <w:rPr>
          <w:rFonts w:ascii="仿宋_GB2312" w:eastAsia="仿宋_GB2312"/>
          <w:sz w:val="28"/>
          <w:szCs w:val="28"/>
          <w:highlight w:val="none"/>
        </w:rPr>
        <w:t>）</w:t>
      </w:r>
      <w:r>
        <w:rPr>
          <w:rFonts w:hint="eastAsia" w:ascii="仿宋_GB2312" w:eastAsia="仿宋_GB2312"/>
          <w:sz w:val="28"/>
          <w:szCs w:val="28"/>
          <w:highlight w:val="none"/>
          <w:lang w:eastAsia="zh-CN"/>
        </w:rPr>
        <w:t>本部门职责情况</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西田各庄镇共设置行政机构13个。</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1.党群工作办公室（人大工作办公室）</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党的基层组织建设；负责党员的发展、教育和管理；负责干部思想政治工作；负责干部的选拔、培养、使用和监督；负责干部交流、考核、奖惩、工资福利、保险、人事档案、专业技术人员和老干部的管理以及统战工作; 负 责党的路线方针政策、先进经验和先进事迹等方面的宣传；负责精神文明建设；负责广播、通讯和信息工作；负责机关干部的政治理论学习等。</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2.平安建设办公室（人民武装部、司法所）</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制定并落实社会治安综合治理规划和相关措施；负责治理危害国家安全和社会治安的各种行为；负责信访、人民调解、具体实施社区戒毒和康复、民兵、征兵、人民防空、地下空间治理、防震减灾、突发事件应对等相关工作；负责防范处理邪教工作；负责流动人口和出租房屋管理等。负责维护辖区社会稳定，加强群防群治组织建设，推动本镇社会治安综合治理各项措施的落实等。</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3.城乡建设办公室</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负责区域内城乡规划工作；组织农村基础设施建设，受理农村地区住宅建设的申请工作；负责控制和查处辖区内违法建设；负责征地补偿安置、乡村道路建设养护、地质灾害群测群防、摸排无证无照经营等工作。</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4.经济发展办公室（统计所）</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负责财政预算、决算和收支管理，协助组织税收、内部审计、农村金融管理等。制定乡镇经济发展规划并组织实施；负责乡镇产业结构调整、投资项目引进的指导与服务；负责镇域内企业管理与服务、科技创新、信息产业发展；依法管理、开展统计工作。</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 5.农业农村办公室</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负责制定乡镇农业发展规划和新农村</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建设规划；负责都市型现代农业发展以及农业、林业、水务、畜牧产业管理；负责防汛抗旱、新农村建设、粮食直补、农业保险；负责农村公共设施维护；负责农民负担监督管理；负责指导农 村集体经济产业、农民专业合作社发展等。</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6.综合保障办公室</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负责党务、政务、文书、机要、档案、应急、保密、督查督办、信息公开、外事、便民电话、后勤保障、网络管理、防震减灾等。</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7.镇纪委、区监委派出西田各庄镇监察办公室</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依据宪法和监察法，根据区监委授权，依法履行对镇区管辖的公职人员和有关人员依法履职、秉公用权、廉洁从政从业及道德操守情况进行监督检查；对涉嫌职务违法人员进行调查；对行使职责中存在的问题提出监察建议。</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 8.综合行政执法队</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 负责辖区内赋权行政职权事项相关综合行政执法工作</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 xml:space="preserve"> 9.便民服务中心（退役军人服务站）</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落实各项社会救助和优抚政策，指导协调拥军优属、扶贫帮困等工作；负责老龄工作、残疾人保障及未成年人保护工作；负责基层民主政治建设;负责村民自治组织和村级政权建设；负责民族、宗教、侨务管理与服务；负责劳动者权益保护、劳动监察、就业促进、社会保障工作；负责制定社区建设与发展规划，落实社区建设的相关配套政策，指导社区服务站建设；负责社区管理与服务、社会组织和社会志愿者队伍建设等。</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10.市民活动中心（党群活动中心、文化和旅游服务中心）</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人口与计划生育宣传教育；负责计划生育奖励政策执行；负责违法生育的社会抚养费的征缴；负责制定乡镇旅游业发展规划，乡村旅游业发展建设和日常管理等,负责制定并落实乡镇教育、科技、文化、卫生、体育发展规划；负责科普、群众性文化、体育等相关工作；负责医疗卫生机构和村公共卫生人员的管理和考核、公共卫生事业应急处置、疾病预防控制、妇幼保健；协助卫生监督执法和食品药品监管等。</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11.生态环境保护中心</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制定并落实村镇建设发展规划和环境保护行动规划；负责市政基础设施建设与管理、市容环境卫生管理、环境保护工作，协助抓好水利建设和水资源管理；负责协调并监督城市管理综合行政执法工作，配合查处违章违法行为。</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12.市民诉求处置中心（综治中心、城市管理指挥分中心）</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承担全镇大数据管理、网格化管理等与城市管理、社会管理密切相关 的事务性、辅助性工作；承担市民服务热线等交办事件的统一接收、按责转办、督办落实及统一答复工作；负责综合治理相关的事务性、辅助性工作；负责实体化综合执法平台的管理运行。</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13.经济发展服务中心（农业农村服务中心）</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负责全镇农业和农村经济发展工作；负责农村土地承包经营及承包经营合同管理，指导和监督农村集体资产管理工作；负责农民负担监督管理工作。</w:t>
      </w:r>
    </w:p>
    <w:p>
      <w:pPr>
        <w:tabs>
          <w:tab w:val="center" w:pos="6979"/>
        </w:tabs>
        <w:spacing w:line="580" w:lineRule="exact"/>
        <w:ind w:firstLine="700" w:firstLineChars="250"/>
        <w:rPr>
          <w:rFonts w:hint="eastAsia" w:ascii="仿宋_GB2312" w:eastAsia="仿宋_GB2312"/>
          <w:sz w:val="28"/>
          <w:szCs w:val="28"/>
          <w:highlight w:val="none"/>
          <w:lang w:eastAsia="zh-CN"/>
        </w:rPr>
      </w:pPr>
      <w:r>
        <w:rPr>
          <w:rFonts w:hint="eastAsia" w:ascii="仿宋_GB2312" w:eastAsia="仿宋_GB2312"/>
          <w:sz w:val="28"/>
          <w:szCs w:val="28"/>
          <w:highlight w:val="none"/>
          <w:lang w:eastAsia="zh-CN"/>
        </w:rPr>
        <w:t>（二）</w:t>
      </w:r>
      <w:r>
        <w:rPr>
          <w:rFonts w:hint="eastAsia" w:ascii="仿宋_GB2312" w:eastAsia="仿宋_GB2312"/>
          <w:sz w:val="28"/>
          <w:szCs w:val="28"/>
          <w:highlight w:val="none"/>
        </w:rPr>
        <w:t>机构</w:t>
      </w:r>
      <w:r>
        <w:rPr>
          <w:rFonts w:ascii="仿宋_GB2312" w:eastAsia="仿宋_GB2312"/>
          <w:sz w:val="28"/>
          <w:szCs w:val="28"/>
          <w:highlight w:val="none"/>
        </w:rPr>
        <w:t>设置</w:t>
      </w:r>
      <w:r>
        <w:rPr>
          <w:rFonts w:hint="eastAsia" w:ascii="仿宋_GB2312" w:eastAsia="仿宋_GB2312"/>
          <w:sz w:val="28"/>
          <w:szCs w:val="28"/>
          <w:highlight w:val="none"/>
          <w:lang w:eastAsia="zh-CN"/>
        </w:rPr>
        <w:t>情况</w:t>
      </w:r>
    </w:p>
    <w:p>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行政编制64人，实有人数58人；事业编制70人，实有人数60人。</w:t>
      </w: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65249.59</w:t>
      </w:r>
      <w:r>
        <w:rPr>
          <w:rFonts w:hint="eastAsia" w:ascii="仿宋_GB2312" w:eastAsia="仿宋_GB2312"/>
          <w:sz w:val="28"/>
          <w:szCs w:val="28"/>
        </w:rPr>
        <w:t>万元，比上年增加11016.09万元，增长20.31%。</w:t>
      </w:r>
    </w:p>
    <w:p>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（一</w:t>
      </w:r>
      <w:r>
        <w:rPr>
          <w:rFonts w:ascii="仿宋_GB2312" w:eastAsia="仿宋_GB2312"/>
          <w:sz w:val="28"/>
          <w:szCs w:val="28"/>
          <w:highlight w:val="none"/>
        </w:rPr>
        <w:t>）</w:t>
      </w:r>
      <w:r>
        <w:rPr>
          <w:rFonts w:hint="eastAsia" w:ascii="仿宋_GB2312" w:eastAsia="仿宋_GB2312"/>
          <w:sz w:val="28"/>
          <w:szCs w:val="28"/>
          <w:highlight w:val="none"/>
        </w:rPr>
        <w:t>收入决算</w:t>
      </w:r>
      <w:r>
        <w:rPr>
          <w:rFonts w:ascii="仿宋_GB2312" w:eastAsia="仿宋_GB2312"/>
          <w:sz w:val="28"/>
          <w:szCs w:val="28"/>
          <w:highlight w:val="none"/>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年度本年收入合计</w:t>
      </w:r>
      <w:r>
        <w:rPr>
          <w:rFonts w:ascii="仿宋_GB2312" w:eastAsia="仿宋_GB2312"/>
          <w:sz w:val="28"/>
          <w:szCs w:val="28"/>
        </w:rPr>
        <w:t>57608.86</w:t>
      </w:r>
      <w:r>
        <w:rPr>
          <w:rFonts w:hint="eastAsia" w:ascii="仿宋_GB2312" w:eastAsia="仿宋_GB2312"/>
          <w:sz w:val="28"/>
          <w:szCs w:val="28"/>
        </w:rPr>
        <w:t>万元，比上年增加17714.15万元，增长44.40%。</w:t>
      </w:r>
    </w:p>
    <w:p>
      <w:pPr>
        <w:numPr>
          <w:ilvl w:val="0"/>
          <w:numId w:val="0"/>
        </w:numPr>
        <w:tabs>
          <w:tab w:val="center" w:pos="6979"/>
        </w:tabs>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1.</w:t>
      </w:r>
      <w:r>
        <w:rPr>
          <w:rFonts w:hint="eastAsia" w:ascii="仿宋_GB2312" w:eastAsia="仿宋_GB2312"/>
          <w:sz w:val="28"/>
          <w:szCs w:val="28"/>
        </w:rPr>
        <w:t>财政拨款收入</w:t>
      </w:r>
      <w:r>
        <w:rPr>
          <w:rFonts w:ascii="仿宋_GB2312" w:eastAsia="仿宋_GB2312"/>
          <w:sz w:val="28"/>
          <w:szCs w:val="28"/>
        </w:rPr>
        <w:t>51408.33</w:t>
      </w:r>
      <w:r>
        <w:rPr>
          <w:rFonts w:hint="eastAsia" w:ascii="仿宋_GB2312" w:eastAsia="仿宋_GB2312"/>
          <w:sz w:val="28"/>
          <w:szCs w:val="28"/>
        </w:rPr>
        <w:t>万元，占收入合计的</w:t>
      </w:r>
      <w:r>
        <w:rPr>
          <w:rFonts w:hint="eastAsia" w:ascii="仿宋_GB2312" w:eastAsia="仿宋_GB2312"/>
          <w:sz w:val="28"/>
          <w:szCs w:val="28"/>
          <w:lang w:eastAsia="zh-CN"/>
        </w:rPr>
        <w:t>89.24%。</w:t>
      </w:r>
      <w:r>
        <w:rPr>
          <w:rFonts w:hint="eastAsia" w:ascii="仿宋_GB2312" w:eastAsia="仿宋_GB2312"/>
          <w:sz w:val="28"/>
          <w:szCs w:val="28"/>
        </w:rPr>
        <w:t>其中：</w:t>
      </w:r>
      <w:r>
        <w:rPr>
          <w:rFonts w:hint="eastAsia" w:ascii="仿宋_GB2312" w:eastAsia="仿宋_GB2312"/>
          <w:sz w:val="28"/>
          <w:szCs w:val="28"/>
          <w:lang w:eastAsia="zh-CN"/>
        </w:rPr>
        <w:t>一般公共预算财政拨款收入</w:t>
      </w:r>
      <w:r>
        <w:rPr>
          <w:rFonts w:ascii="仿宋_GB2312" w:eastAsia="仿宋_GB2312"/>
          <w:sz w:val="28"/>
          <w:szCs w:val="28"/>
        </w:rPr>
        <w:t>50636.93</w:t>
      </w:r>
      <w:r>
        <w:rPr>
          <w:rFonts w:hint="eastAsia" w:ascii="仿宋_GB2312" w:eastAsia="仿宋_GB2312"/>
          <w:sz w:val="28"/>
          <w:szCs w:val="28"/>
        </w:rPr>
        <w:t>万元，占收入合计的</w:t>
      </w:r>
      <w:r>
        <w:rPr>
          <w:rFonts w:hint="eastAsia" w:ascii="仿宋_GB2312" w:eastAsia="仿宋_GB2312"/>
          <w:sz w:val="28"/>
          <w:szCs w:val="28"/>
          <w:lang w:eastAsia="zh-CN"/>
        </w:rPr>
        <w:t>87.9</w:t>
      </w:r>
      <w:r>
        <w:rPr>
          <w:rFonts w:hint="eastAsia" w:ascii="仿宋_GB2312" w:eastAsia="仿宋_GB2312"/>
          <w:sz w:val="28"/>
          <w:szCs w:val="28"/>
        </w:rPr>
        <w:t>%；</w:t>
      </w:r>
      <w:r>
        <w:rPr>
          <w:rFonts w:hint="eastAsia" w:ascii="仿宋_GB2312" w:eastAsia="仿宋_GB2312"/>
          <w:sz w:val="28"/>
          <w:szCs w:val="28"/>
          <w:lang w:eastAsia="zh-CN"/>
        </w:rPr>
        <w:t>政府性基金预算财政拨款收入</w:t>
      </w:r>
      <w:r>
        <w:rPr>
          <w:rFonts w:ascii="仿宋_GB2312" w:eastAsia="仿宋_GB2312"/>
          <w:sz w:val="28"/>
          <w:szCs w:val="28"/>
        </w:rPr>
        <w:t>771.4</w:t>
      </w:r>
      <w:r>
        <w:rPr>
          <w:rFonts w:hint="eastAsia" w:ascii="仿宋_GB2312" w:eastAsia="仿宋_GB2312"/>
          <w:sz w:val="28"/>
          <w:szCs w:val="28"/>
        </w:rPr>
        <w:t>万元，占收入合计的</w:t>
      </w:r>
      <w:r>
        <w:rPr>
          <w:rFonts w:hint="eastAsia" w:ascii="仿宋_GB2312" w:eastAsia="仿宋_GB2312"/>
          <w:sz w:val="28"/>
          <w:szCs w:val="28"/>
          <w:lang w:eastAsia="zh-CN"/>
        </w:rPr>
        <w:t>1.34</w:t>
      </w:r>
      <w:r>
        <w:rPr>
          <w:rFonts w:hint="eastAsia" w:ascii="仿宋_GB2312" w:eastAsia="仿宋_GB2312"/>
          <w:sz w:val="28"/>
          <w:szCs w:val="28"/>
        </w:rPr>
        <w:t>%；</w:t>
      </w:r>
      <w:r>
        <w:rPr>
          <w:rFonts w:hint="eastAsia" w:ascii="仿宋_GB2312" w:eastAsia="仿宋_GB2312"/>
          <w:sz w:val="28"/>
          <w:szCs w:val="28"/>
          <w:lang w:eastAsia="zh-CN"/>
        </w:rPr>
        <w:t>国有资本经营预算财政拨款收入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pPr>
        <w:numPr>
          <w:ilvl w:val="0"/>
          <w:numId w:val="0"/>
        </w:num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上级补助收入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pPr>
        <w:numPr>
          <w:ilvl w:val="0"/>
          <w:numId w:val="0"/>
        </w:num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事业收入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4.经营收入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5.附属单位上缴收入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pPr>
        <w:tabs>
          <w:tab w:val="center" w:pos="6979"/>
        </w:tabs>
        <w:spacing w:line="580" w:lineRule="exact"/>
        <w:ind w:firstLine="560" w:firstLineChars="200"/>
        <w:rPr>
          <w:rFonts w:hint="eastAsia" w:ascii="仿宋_GB2312" w:eastAsia="仿宋_GB2312" w:cs="Droid Sans"/>
          <w:color w:val="000000"/>
          <w:sz w:val="32"/>
          <w:szCs w:val="32"/>
          <w:highlight w:val="none"/>
          <w:lang w:eastAsia="zh-CN"/>
        </w:rPr>
      </w:pPr>
      <w:r>
        <w:rPr>
          <w:rFonts w:hint="eastAsia" w:ascii="仿宋_GB2312" w:eastAsia="仿宋_GB2312"/>
          <w:sz w:val="28"/>
          <w:szCs w:val="28"/>
        </w:rPr>
        <w:t>6.其他收入</w:t>
      </w:r>
      <w:r>
        <w:rPr>
          <w:rFonts w:ascii="仿宋_GB2312" w:eastAsia="仿宋_GB2312"/>
          <w:sz w:val="28"/>
          <w:szCs w:val="28"/>
        </w:rPr>
        <w:t>6200.53</w:t>
      </w:r>
      <w:r>
        <w:rPr>
          <w:rFonts w:hint="eastAsia" w:ascii="仿宋_GB2312" w:eastAsia="仿宋_GB2312"/>
          <w:sz w:val="28"/>
          <w:szCs w:val="28"/>
        </w:rPr>
        <w:t>万元，占收入合计的</w:t>
      </w:r>
      <w:r>
        <w:rPr>
          <w:rFonts w:hint="eastAsia" w:ascii="仿宋_GB2312" w:eastAsia="仿宋_GB2312"/>
          <w:sz w:val="28"/>
          <w:szCs w:val="28"/>
          <w:lang w:eastAsia="zh-CN"/>
        </w:rPr>
        <w:t>10.76</w:t>
      </w:r>
      <w:r>
        <w:rPr>
          <w:rFonts w:hint="eastAsia" w:ascii="仿宋_GB2312" w:eastAsia="仿宋_GB2312"/>
          <w:sz w:val="28"/>
          <w:szCs w:val="28"/>
        </w:rPr>
        <w:t>%。</w:t>
      </w:r>
    </w:p>
    <w:p>
      <w:pPr>
        <w:pStyle w:val="2"/>
        <w:ind w:firstLine="0"/>
        <w:jc w:val="center"/>
      </w:pPr>
      <w:r>
        <w:rPr>
          <w:rFonts w:hint="eastAsia" w:ascii="仿宋_GB2312" w:eastAsia="仿宋_GB2312"/>
          <w:color w:val="000000"/>
          <w:sz w:val="32"/>
          <w:szCs w:val="32"/>
          <w:highlight w:val="none"/>
          <w:lang w:val="en-US" w:eastAsia="zh-CN"/>
        </w:rPr>
        <w:t>图1：收入决算</w:t>
      </w:r>
    </w:p>
    <w:p>
      <w:pPr>
        <w:pStyle w:val="4"/>
        <w:ind w:firstLine="420"/>
        <w:jc w:val="center"/>
      </w:pPr>
      <w:r>
        <w:drawing>
          <wp:inline distT="0" distB="0" distL="0" distR="0">
            <wp:extent cx="4036695" cy="2328545"/>
            <wp:effectExtent l="4445" t="4445" r="16510" b="10160"/>
            <wp:docPr id="3" name="图表 3" title="{{pieChar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年度本年支出合计</w:t>
      </w:r>
      <w:r>
        <w:rPr>
          <w:rFonts w:ascii="仿宋_GB2312" w:eastAsia="仿宋_GB2312"/>
          <w:sz w:val="28"/>
          <w:szCs w:val="28"/>
        </w:rPr>
        <w:t>56805.64</w:t>
      </w:r>
      <w:r>
        <w:rPr>
          <w:rFonts w:hint="eastAsia" w:ascii="仿宋_GB2312" w:eastAsia="仿宋_GB2312"/>
          <w:sz w:val="28"/>
          <w:szCs w:val="28"/>
        </w:rPr>
        <w:t>万元，比上年增加9745.92万元，增长20.71%，其中：基本支出</w:t>
      </w:r>
      <w:r>
        <w:rPr>
          <w:rFonts w:ascii="仿宋_GB2312" w:eastAsia="仿宋_GB2312"/>
          <w:sz w:val="28"/>
          <w:szCs w:val="28"/>
        </w:rPr>
        <w:t>4432.53</w:t>
      </w:r>
      <w:r>
        <w:rPr>
          <w:rFonts w:hint="eastAsia" w:ascii="仿宋_GB2312" w:eastAsia="仿宋_GB2312"/>
          <w:sz w:val="28"/>
          <w:szCs w:val="28"/>
        </w:rPr>
        <w:t>万元，占支出合计的</w:t>
      </w:r>
      <w:r>
        <w:rPr>
          <w:rFonts w:hint="eastAsia" w:ascii="仿宋_GB2312" w:eastAsia="仿宋_GB2312"/>
          <w:sz w:val="28"/>
          <w:szCs w:val="28"/>
          <w:lang w:eastAsia="zh-CN"/>
        </w:rPr>
        <w:t>7.8</w:t>
      </w:r>
      <w:r>
        <w:rPr>
          <w:rFonts w:hint="eastAsia" w:ascii="仿宋_GB2312" w:eastAsia="仿宋_GB2312"/>
          <w:sz w:val="28"/>
          <w:szCs w:val="28"/>
        </w:rPr>
        <w:t>%；项目支出</w:t>
      </w:r>
      <w:r>
        <w:rPr>
          <w:rFonts w:ascii="仿宋_GB2312" w:eastAsia="仿宋_GB2312"/>
          <w:sz w:val="28"/>
          <w:szCs w:val="28"/>
        </w:rPr>
        <w:t>52373.11</w:t>
      </w:r>
      <w:r>
        <w:rPr>
          <w:rFonts w:hint="eastAsia" w:ascii="仿宋_GB2312" w:eastAsia="仿宋_GB2312"/>
          <w:sz w:val="28"/>
          <w:szCs w:val="28"/>
        </w:rPr>
        <w:t>万元，占支出合计的</w:t>
      </w:r>
      <w:r>
        <w:rPr>
          <w:rFonts w:hint="eastAsia" w:ascii="仿宋_GB2312" w:eastAsia="仿宋_GB2312"/>
          <w:sz w:val="28"/>
          <w:szCs w:val="28"/>
          <w:lang w:eastAsia="zh-CN"/>
        </w:rPr>
        <w:t>92.2</w:t>
      </w:r>
      <w:r>
        <w:rPr>
          <w:rFonts w:hint="eastAsia" w:ascii="仿宋_GB2312" w:eastAsia="仿宋_GB2312"/>
          <w:sz w:val="28"/>
          <w:szCs w:val="28"/>
        </w:rPr>
        <w:t>%;上缴上级支出</w:t>
      </w:r>
      <w:r>
        <w:rPr>
          <w:rFonts w:ascii="仿宋_GB2312" w:eastAsia="仿宋_GB2312"/>
          <w:sz w:val="28"/>
          <w:szCs w:val="28"/>
        </w:rPr>
        <w:t>0</w:t>
      </w:r>
      <w:r>
        <w:rPr>
          <w:rFonts w:hint="eastAsia" w:ascii="仿宋_GB2312" w:eastAsia="仿宋_GB2312"/>
          <w:sz w:val="28"/>
          <w:szCs w:val="28"/>
        </w:rPr>
        <w:t>万元，占支出合计的</w:t>
      </w:r>
      <w:r>
        <w:rPr>
          <w:rFonts w:hint="eastAsia" w:ascii="仿宋_GB2312" w:eastAsia="仿宋_GB2312"/>
          <w:sz w:val="28"/>
          <w:szCs w:val="28"/>
          <w:lang w:eastAsia="zh-CN"/>
        </w:rPr>
        <w:t>0</w:t>
      </w:r>
      <w:r>
        <w:rPr>
          <w:rFonts w:hint="eastAsia" w:ascii="仿宋_GB2312" w:eastAsia="仿宋_GB2312"/>
          <w:sz w:val="28"/>
          <w:szCs w:val="28"/>
        </w:rPr>
        <w:t>%；经营支出</w:t>
      </w:r>
      <w:r>
        <w:rPr>
          <w:rFonts w:ascii="仿宋_GB2312" w:eastAsia="仿宋_GB2312"/>
          <w:sz w:val="28"/>
          <w:szCs w:val="28"/>
        </w:rPr>
        <w:t>0</w:t>
      </w:r>
      <w:r>
        <w:rPr>
          <w:rFonts w:hint="eastAsia" w:ascii="仿宋_GB2312" w:eastAsia="仿宋_GB2312"/>
          <w:sz w:val="28"/>
          <w:szCs w:val="28"/>
        </w:rPr>
        <w:t>万元，占支出合计的</w:t>
      </w:r>
      <w:r>
        <w:rPr>
          <w:rFonts w:hint="eastAsia" w:ascii="仿宋_GB2312" w:eastAsia="仿宋_GB2312"/>
          <w:sz w:val="28"/>
          <w:szCs w:val="28"/>
          <w:lang w:eastAsia="zh-CN"/>
        </w:rPr>
        <w:t>0</w:t>
      </w:r>
      <w:r>
        <w:rPr>
          <w:rFonts w:hint="eastAsia" w:ascii="仿宋_GB2312" w:eastAsia="仿宋_GB2312"/>
          <w:sz w:val="28"/>
          <w:szCs w:val="28"/>
        </w:rPr>
        <w:t>%；对附属单位补助支出</w:t>
      </w:r>
      <w:r>
        <w:rPr>
          <w:rFonts w:ascii="仿宋_GB2312" w:eastAsia="仿宋_GB2312"/>
          <w:sz w:val="28"/>
          <w:szCs w:val="28"/>
        </w:rPr>
        <w:t>0</w:t>
      </w:r>
      <w:r>
        <w:rPr>
          <w:rFonts w:hint="eastAsia" w:ascii="仿宋_GB2312" w:eastAsia="仿宋_GB2312"/>
          <w:sz w:val="28"/>
          <w:szCs w:val="28"/>
        </w:rPr>
        <w:t>万元，占支出合计的</w:t>
      </w:r>
      <w:r>
        <w:rPr>
          <w:rFonts w:hint="eastAsia" w:ascii="仿宋_GB2312" w:eastAsia="仿宋_GB2312"/>
          <w:sz w:val="28"/>
          <w:szCs w:val="28"/>
          <w:lang w:eastAsia="zh-CN"/>
        </w:rPr>
        <w:t>0</w:t>
      </w:r>
      <w:r>
        <w:rPr>
          <w:rFonts w:hint="eastAsia" w:ascii="仿宋_GB2312" w:eastAsia="仿宋_GB2312"/>
          <w:sz w:val="28"/>
          <w:szCs w:val="28"/>
        </w:rPr>
        <w:t>%。</w:t>
      </w:r>
    </w:p>
    <w:p>
      <w:pPr>
        <w:pStyle w:val="2"/>
        <w:ind w:firstLine="5772" w:firstLineChars="1804"/>
        <w:jc w:val="both"/>
        <w:rPr>
          <w:rFonts w:ascii="仿宋_GB2312" w:eastAsia="仿宋_GB2312"/>
          <w:color w:val="000000"/>
          <w:sz w:val="32"/>
        </w:rPr>
      </w:pPr>
      <w:r>
        <w:rPr>
          <w:rFonts w:hint="eastAsia" w:ascii="仿宋_GB2312" w:eastAsia="仿宋_GB2312"/>
          <w:color w:val="000000"/>
          <w:sz w:val="32"/>
        </w:rPr>
        <w:t>图2：支出</w:t>
      </w:r>
      <w:r>
        <w:rPr>
          <w:rFonts w:hint="eastAsia" w:ascii="仿宋_GB2312" w:eastAsia="仿宋_GB2312"/>
          <w:color w:val="000000"/>
          <w:sz w:val="32"/>
          <w:lang w:val="en-US" w:eastAsia="zh-CN"/>
        </w:rPr>
        <w:t>决算</w:t>
      </w:r>
    </w:p>
    <w:p>
      <w:pPr>
        <w:jc w:val="center"/>
        <w:rPr>
          <w:rFonts w:ascii="黑体" w:eastAsia="黑体"/>
          <w:b/>
          <w:sz w:val="28"/>
          <w:szCs w:val="28"/>
        </w:rPr>
      </w:pPr>
      <w:r>
        <w:drawing>
          <wp:inline distT="0" distB="0" distL="114300" distR="114300">
            <wp:extent cx="4572000" cy="2743200"/>
            <wp:effectExtent l="4445" t="4445" r="14605" b="14605"/>
            <wp:docPr id="1" name="图表 3" title="{{pieChart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51875.28</w:t>
      </w:r>
      <w:r>
        <w:rPr>
          <w:rFonts w:hint="eastAsia" w:ascii="仿宋_GB2312" w:eastAsia="仿宋_GB2312"/>
          <w:sz w:val="28"/>
          <w:szCs w:val="28"/>
        </w:rPr>
        <w:t>万元，比上年增加18782.56万元，增长56.76%。主要原因：本年专项增多。</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年度一般公共预算财政拨款支出</w:t>
      </w:r>
      <w:r>
        <w:rPr>
          <w:rFonts w:ascii="仿宋_GB2312" w:eastAsia="仿宋_GB2312"/>
          <w:sz w:val="28"/>
          <w:szCs w:val="28"/>
        </w:rPr>
        <w:t>51103.87</w:t>
      </w:r>
      <w:r>
        <w:rPr>
          <w:rFonts w:hint="eastAsia" w:ascii="仿宋_GB2312" w:eastAsia="仿宋_GB2312"/>
          <w:sz w:val="28"/>
          <w:szCs w:val="28"/>
        </w:rPr>
        <w:t>万元，主要用于以下方面（按大类）：一般公共服务支出3896.86万元，占本年财政拨款支出7.63%；文化旅游体育与传媒支出</w:t>
      </w:r>
      <w:r>
        <w:rPr>
          <w:rFonts w:hint="eastAsia" w:ascii="仿宋_GB2312" w:eastAsia="仿宋_GB2312"/>
          <w:sz w:val="28"/>
          <w:szCs w:val="28"/>
        </w:rPr>
        <w:tab/>
      </w:r>
      <w:r>
        <w:rPr>
          <w:rFonts w:hint="eastAsia" w:ascii="仿宋_GB2312" w:eastAsia="仿宋_GB2312"/>
          <w:sz w:val="28"/>
          <w:szCs w:val="28"/>
        </w:rPr>
        <w:t>373.89万元，占本年财政拨款支出0.73%;社会保障和就业支出1386.73万元，占本年财政拨款支出2.71%；卫生健康支出307.62万元，占本年财政拨款支出</w:t>
      </w:r>
      <w:r>
        <w:rPr>
          <w:rFonts w:hint="eastAsia" w:ascii="仿宋_GB2312" w:eastAsia="仿宋_GB2312"/>
          <w:sz w:val="28"/>
          <w:szCs w:val="28"/>
        </w:rPr>
        <w:tab/>
      </w:r>
      <w:r>
        <w:rPr>
          <w:rFonts w:hint="eastAsia" w:ascii="仿宋_GB2312" w:eastAsia="仿宋_GB2312"/>
          <w:sz w:val="28"/>
          <w:szCs w:val="28"/>
        </w:rPr>
        <w:t>0.6%；节能环保支出25.05万元，占本年财政拨款支出0.04%；城乡社区支出</w:t>
      </w:r>
      <w:r>
        <w:rPr>
          <w:rFonts w:hint="eastAsia" w:ascii="仿宋_GB2312" w:eastAsia="仿宋_GB2312"/>
          <w:sz w:val="28"/>
          <w:szCs w:val="28"/>
        </w:rPr>
        <w:tab/>
      </w:r>
      <w:r>
        <w:rPr>
          <w:rFonts w:hint="eastAsia" w:ascii="仿宋_GB2312" w:eastAsia="仿宋_GB2312"/>
          <w:sz w:val="28"/>
          <w:szCs w:val="28"/>
        </w:rPr>
        <w:t>24,846.08万元，占本年财政拨款支出48.62%；农林水支出18901.75万元，占本年财政拨款支出36.99%；交通运输支出120.48万元，占本年财政拨款支出</w:t>
      </w:r>
      <w:r>
        <w:rPr>
          <w:rFonts w:hint="eastAsia" w:ascii="仿宋_GB2312" w:eastAsia="仿宋_GB2312"/>
          <w:sz w:val="28"/>
          <w:szCs w:val="28"/>
        </w:rPr>
        <w:tab/>
      </w:r>
      <w:r>
        <w:rPr>
          <w:rFonts w:hint="eastAsia" w:ascii="仿宋_GB2312" w:eastAsia="仿宋_GB2312"/>
          <w:sz w:val="28"/>
          <w:szCs w:val="28"/>
        </w:rPr>
        <w:t>0.24%；资源勘探工业信息等支出490.61万元，占本年财政拨款支出0.96%；住房保障支出</w:t>
      </w:r>
      <w:r>
        <w:rPr>
          <w:rFonts w:hint="eastAsia" w:ascii="仿宋_GB2312" w:eastAsia="仿宋_GB2312"/>
          <w:sz w:val="28"/>
          <w:szCs w:val="28"/>
        </w:rPr>
        <w:tab/>
      </w:r>
      <w:r>
        <w:rPr>
          <w:rFonts w:hint="eastAsia" w:ascii="仿宋_GB2312" w:eastAsia="仿宋_GB2312"/>
          <w:sz w:val="28"/>
          <w:szCs w:val="28"/>
        </w:rPr>
        <w:t>684.48万元，占本年财政拨款支出1.34%；灾害防治及应急管理支出70.33万元，占本年财政拨款支出0.14%。</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1、“一般公共服务支出”（类）2025年度决算3896.86万元，比2025年度年初预算减少491.70万元，增长（下降）1.0%。主要原因是缩减人员经费和政府机构日常运转所需支出。</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2、“文化旅游体育与传媒支出”(类)2025年度决算373.89万元，比2025年度年初预算增加341.69万元，增长10.61倍。主要原因是增加了专项资金。</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3、“社会保障和就业支出”（类）2025年度决算1386.73万元，比2025年度年初预算增加782.51万元，增长129.51%。主要原因是增加了专项资金。</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4、“卫生健康支出”（类）2025年度决算307.62万元，比2025年度年初预算增加3.98万元，增长1.3%。主要原因是增加了专项资金。</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5、“节能环保支出”（类）2025年度决算25.05万元，</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6、“城乡社区支出”（类）2025年度决算</w:t>
      </w:r>
      <w:r>
        <w:rPr>
          <w:rFonts w:hint="eastAsia" w:ascii="仿宋_GB2312" w:eastAsia="仿宋_GB2312"/>
          <w:sz w:val="28"/>
          <w:szCs w:val="28"/>
        </w:rPr>
        <w:tab/>
      </w:r>
      <w:r>
        <w:rPr>
          <w:rFonts w:hint="eastAsia" w:ascii="仿宋_GB2312" w:eastAsia="仿宋_GB2312"/>
          <w:sz w:val="28"/>
          <w:szCs w:val="28"/>
        </w:rPr>
        <w:t>24,846.08万元，比2025年度年初预算增加24777.9万元，增长363.42倍。主要原因是增加了专项资金。</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7、“农林水支出”（类）2025年度决算18901.75万元，比2025年度年初预算增加13982.74万元，增长2.84倍。主要原因是增加了专项资金。</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8、“交通运输支出”（类）2025年度决算120.48万元，</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9、“资源勘探工业信息等支出”（类）2025年度决算490.61万元，比2025年度年初预算减少509.39万元，下降50.94%。主要原因是专项减少。</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10、“住房保障支出”（类）2025年度决算684.48万元，比2025年度年初预算增加390.90万元，增长133.15%。主要原因是增加了专项资金。</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11、“灾害防治及应急管理支出”（类）2025年度决算70.33万元。</w:t>
      </w:r>
    </w:p>
    <w:p>
      <w:pPr>
        <w:spacing w:line="58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（一）政府性基金预算财政拨款支出决算总体情况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年度政府性基金预算财政拨款支出</w:t>
      </w:r>
      <w:r>
        <w:rPr>
          <w:rFonts w:ascii="仿宋_GB2312" w:eastAsia="仿宋_GB2312"/>
          <w:sz w:val="28"/>
          <w:szCs w:val="28"/>
        </w:rPr>
        <w:t>771.4</w:t>
      </w:r>
      <w:r>
        <w:rPr>
          <w:rFonts w:hint="eastAsia" w:ascii="仿宋_GB2312" w:eastAsia="仿宋_GB2312"/>
          <w:sz w:val="28"/>
          <w:szCs w:val="28"/>
        </w:rPr>
        <w:t>万元，主要用于以下方面（按大类）：城乡社区支出44.45万元，占本年财政拨款支出5.76%；农林水支出680.13万元，占本年财政拨款支出88.17%；其他支出46.82万元，占本年财政拨款支出6.07%。</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（二）政府性基金预算财政拨款支出决算具体情况</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1、“城乡社区支出”（类，下同）2025年度决算44.45万元，其中：“国有土地使用权出让收入安排的支出”（款，下同）9.45万元。“污水处理费安排的支出”（款，下同）35万元。</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2、“农林水支出”（类，下同）2024年度决算680.13万元，其中：“大中型水库移民后期扶持基金支出”（款，下同）680.13万元。</w:t>
      </w:r>
    </w:p>
    <w:p>
      <w:pPr>
        <w:spacing w:line="580" w:lineRule="exact"/>
        <w:ind w:firstLine="560" w:firstLineChars="200"/>
        <w:rPr>
          <w:rFonts w:hint="eastAsia" w:ascii="黑体" w:eastAsia="黑体"/>
          <w:b/>
          <w:sz w:val="28"/>
          <w:szCs w:val="28"/>
        </w:rPr>
      </w:pPr>
      <w:r>
        <w:rPr>
          <w:rFonts w:hint="eastAsia" w:ascii="仿宋_GB2312" w:eastAsia="仿宋_GB2312"/>
          <w:sz w:val="28"/>
          <w:szCs w:val="28"/>
        </w:rPr>
        <w:t xml:space="preserve"> 3、“其他支出”（类，下同）2024年度决算46.82万元，其中：“彩票公益金安排的支出”（款，下同）46.82万元。</w:t>
      </w:r>
      <w:r>
        <w:rPr>
          <w:rFonts w:hint="eastAsia" w:ascii="黑体" w:eastAsia="黑体"/>
          <w:b/>
          <w:sz w:val="28"/>
          <w:szCs w:val="28"/>
        </w:rPr>
        <w:t>六、国有资本经营预算财</w:t>
      </w:r>
      <w:r>
        <w:rPr>
          <w:rFonts w:ascii="黑体" w:eastAsia="黑体"/>
          <w:b/>
          <w:sz w:val="28"/>
          <w:szCs w:val="28"/>
        </w:rPr>
        <w:t>政拨款</w:t>
      </w:r>
      <w:r>
        <w:rPr>
          <w:rFonts w:hint="eastAsia" w:ascii="黑体" w:eastAsia="黑体"/>
          <w:b/>
          <w:sz w:val="28"/>
          <w:szCs w:val="28"/>
        </w:rPr>
        <w:t>收支情况</w:t>
      </w:r>
    </w:p>
    <w:p>
      <w:pPr>
        <w:ind w:firstLine="537" w:firstLineChars="192"/>
        <w:rPr>
          <w:rFonts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年度国有资本经营预算财政</w:t>
      </w:r>
      <w:r>
        <w:rPr>
          <w:rFonts w:ascii="仿宋_GB2312" w:eastAsia="仿宋_GB2312"/>
          <w:sz w:val="28"/>
          <w:szCs w:val="28"/>
        </w:rPr>
        <w:t>拨款</w:t>
      </w:r>
      <w:r>
        <w:rPr>
          <w:rFonts w:hint="eastAsia" w:ascii="仿宋_GB2312" w:eastAsia="仿宋_GB2312"/>
          <w:sz w:val="28"/>
          <w:szCs w:val="28"/>
        </w:rPr>
        <w:t>收入总</w:t>
      </w:r>
      <w:r>
        <w:rPr>
          <w:rFonts w:ascii="仿宋_GB2312" w:eastAsia="仿宋_GB2312"/>
          <w:sz w:val="28"/>
          <w:szCs w:val="28"/>
        </w:rPr>
        <w:t>计0</w:t>
      </w:r>
      <w:r>
        <w:rPr>
          <w:rFonts w:hint="eastAsia" w:ascii="仿宋_GB2312" w:eastAsia="仿宋_GB2312"/>
          <w:sz w:val="28"/>
          <w:szCs w:val="28"/>
        </w:rPr>
        <w:t>万元，国有资本经营预算财政</w:t>
      </w:r>
      <w:r>
        <w:rPr>
          <w:rFonts w:ascii="仿宋_GB2312" w:eastAsia="仿宋_GB2312"/>
          <w:sz w:val="28"/>
          <w:szCs w:val="28"/>
        </w:rPr>
        <w:t>拨款</w:t>
      </w:r>
      <w:r>
        <w:rPr>
          <w:rFonts w:hint="eastAsia" w:ascii="仿宋_GB2312" w:eastAsia="仿宋_GB2312"/>
          <w:sz w:val="28"/>
          <w:szCs w:val="28"/>
        </w:rPr>
        <w:t>支出总</w:t>
      </w:r>
      <w:r>
        <w:rPr>
          <w:rFonts w:ascii="仿宋_GB2312" w:eastAsia="仿宋_GB2312"/>
          <w:sz w:val="28"/>
          <w:szCs w:val="28"/>
        </w:rPr>
        <w:t>计0</w:t>
      </w:r>
      <w:r>
        <w:rPr>
          <w:rFonts w:hint="eastAsia" w:ascii="仿宋_GB2312" w:eastAsia="仿宋_GB2312"/>
          <w:sz w:val="28"/>
          <w:szCs w:val="28"/>
        </w:rPr>
        <w:t>万元。</w:t>
      </w:r>
    </w:p>
    <w:p>
      <w:pPr>
        <w:spacing w:line="580" w:lineRule="exact"/>
        <w:ind w:firstLine="548" w:firstLineChars="196"/>
        <w:rPr>
          <w:rFonts w:hint="eastAsia" w:ascii="黑体" w:eastAsia="黑体"/>
          <w:sz w:val="28"/>
          <w:szCs w:val="28"/>
        </w:rPr>
      </w:pPr>
      <w:r>
        <w:rPr>
          <w:rFonts w:hint="eastAsia" w:ascii="黑体" w:eastAsia="黑体"/>
          <w:b/>
          <w:sz w:val="28"/>
          <w:szCs w:val="28"/>
        </w:rPr>
        <w:t>七、财政拨款基本支出决算情况说明</w:t>
      </w:r>
    </w:p>
    <w:p>
      <w:pPr>
        <w:tabs>
          <w:tab w:val="center" w:pos="6979"/>
        </w:tabs>
        <w:spacing w:line="580" w:lineRule="exact"/>
        <w:ind w:firstLine="548" w:firstLineChars="196"/>
        <w:rPr>
          <w:rFonts w:hint="eastAsia" w:ascii="黑体" w:eastAsia="黑体"/>
          <w:b/>
          <w:sz w:val="28"/>
          <w:szCs w:val="28"/>
        </w:rPr>
      </w:pPr>
      <w:r>
        <w:rPr>
          <w:rFonts w:hint="eastAsia" w:ascii="仿宋_GB2312" w:eastAsia="仿宋_GB2312"/>
          <w:sz w:val="28"/>
          <w:szCs w:val="28"/>
          <w:lang w:eastAsia="zh-CN"/>
        </w:rPr>
        <w:t>2025</w:t>
      </w:r>
      <w:r>
        <w:rPr>
          <w:rFonts w:hint="eastAsia" w:ascii="仿宋_GB2312" w:eastAsia="仿宋_GB2312"/>
          <w:sz w:val="28"/>
          <w:szCs w:val="28"/>
        </w:rPr>
        <w:t>年度使用一般公共预算财政拨款安排基本支出</w:t>
      </w:r>
      <w:r>
        <w:rPr>
          <w:rFonts w:ascii="仿宋_GB2312" w:eastAsia="仿宋_GB2312"/>
          <w:sz w:val="28"/>
          <w:szCs w:val="28"/>
        </w:rPr>
        <w:t>4432.53</w:t>
      </w:r>
      <w:r>
        <w:rPr>
          <w:rFonts w:hint="eastAsia" w:ascii="仿宋_GB2312" w:eastAsia="仿宋_GB2312"/>
          <w:sz w:val="28"/>
          <w:szCs w:val="28"/>
        </w:rPr>
        <w:t>万元，使用政府性基金财政拨款安排基本支出</w:t>
      </w:r>
      <w:r>
        <w:rPr>
          <w:rFonts w:ascii="仿宋_GB2312" w:eastAsia="仿宋_GB2312"/>
          <w:sz w:val="28"/>
          <w:szCs w:val="28"/>
        </w:rPr>
        <w:t>0</w:t>
      </w:r>
      <w:r>
        <w:rPr>
          <w:rFonts w:hint="eastAsia" w:ascii="仿宋_GB2312" w:eastAsia="仿宋_GB2312"/>
          <w:sz w:val="28"/>
          <w:szCs w:val="28"/>
        </w:rPr>
        <w:t>万元，（1）工资福利支出包括基本工资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手续费、水费、电费、邮电费、取暖费、物业管理费、差旅费、因公出国（境）费、维修（护）费、租赁费、会议费、培训费、公务接待费、专用材料费、劳务费、委托业务费、工会经费、福利费、公务用车运行维护费、</w:t>
      </w:r>
      <w:r>
        <w:rPr>
          <w:rFonts w:ascii="仿宋_GB2312" w:eastAsia="仿宋_GB2312"/>
          <w:sz w:val="28"/>
          <w:szCs w:val="28"/>
          <w:highlight w:val="none"/>
          <w:u w:val="none"/>
        </w:rPr>
        <w:t>其他交通费</w:t>
      </w:r>
      <w:r>
        <w:rPr>
          <w:rFonts w:hint="eastAsia" w:ascii="仿宋_GB2312" w:eastAsia="仿宋_GB2312"/>
          <w:sz w:val="28"/>
          <w:szCs w:val="28"/>
          <w:highlight w:val="none"/>
          <w:u w:val="none"/>
          <w:lang w:eastAsia="zh-CN"/>
        </w:rPr>
        <w:t>用</w:t>
      </w:r>
      <w:r>
        <w:rPr>
          <w:rFonts w:ascii="仿宋_GB2312" w:eastAsia="仿宋_GB2312"/>
          <w:sz w:val="28"/>
          <w:szCs w:val="28"/>
        </w:rPr>
        <w:t>、其他商品和服务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autoSpaceDE w:val="0"/>
        <w:autoSpaceDN w:val="0"/>
        <w:adjustRightInd w:val="0"/>
        <w:spacing w:line="580" w:lineRule="exact"/>
        <w:jc w:val="both"/>
        <w:rPr>
          <w:rFonts w:hint="eastAsia" w:ascii="宋体" w:hAnsi="宋体"/>
          <w:b/>
          <w:spacing w:val="40"/>
          <w:sz w:val="32"/>
          <w:szCs w:val="32"/>
        </w:rPr>
      </w:pPr>
      <w:r>
        <w:rPr>
          <w:rFonts w:ascii="仿宋_GB2312" w:eastAsia="仿宋_GB2312"/>
          <w:b/>
          <w:sz w:val="32"/>
          <w:szCs w:val="32"/>
        </w:rPr>
        <w:tab/>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lang w:eastAsia="zh-CN"/>
        </w:rPr>
        <w:t>2025</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年度“三公”经费财政拨款决算数</w:t>
      </w:r>
      <w:r>
        <w:rPr>
          <w:rFonts w:ascii="仿宋_GB2312" w:eastAsia="仿宋_GB2312"/>
          <w:sz w:val="28"/>
          <w:szCs w:val="28"/>
        </w:rPr>
        <w:t>15.83</w:t>
      </w:r>
      <w:r>
        <w:rPr>
          <w:rFonts w:hint="eastAsia" w:ascii="仿宋_GB2312" w:eastAsia="仿宋_GB2312"/>
          <w:sz w:val="28"/>
          <w:szCs w:val="28"/>
        </w:rPr>
        <w:t>万元，比</w:t>
      </w:r>
      <w:r>
        <w:rPr>
          <w:rFonts w:hint="eastAsia" w:ascii="仿宋_GB2312" w:eastAsia="仿宋_GB2312"/>
          <w:sz w:val="28"/>
          <w:szCs w:val="28"/>
          <w:lang w:eastAsia="zh-CN"/>
        </w:rPr>
        <w:t>2025</w:t>
      </w:r>
      <w:r>
        <w:rPr>
          <w:rFonts w:hint="eastAsia" w:ascii="仿宋_GB2312" w:eastAsia="仿宋_GB2312"/>
          <w:sz w:val="28"/>
          <w:szCs w:val="28"/>
        </w:rPr>
        <w:t>年度“三公”经费财政拨款年初预算</w:t>
      </w:r>
      <w:r>
        <w:rPr>
          <w:rFonts w:ascii="仿宋_GB2312" w:eastAsia="仿宋_GB2312"/>
          <w:sz w:val="28"/>
          <w:szCs w:val="28"/>
        </w:rPr>
        <w:t>31.65</w:t>
      </w:r>
      <w:r>
        <w:rPr>
          <w:rFonts w:hint="eastAsia" w:ascii="仿宋_GB2312" w:eastAsia="仿宋_GB2312"/>
          <w:sz w:val="28"/>
          <w:szCs w:val="28"/>
        </w:rPr>
        <w:t>万元减少</w:t>
      </w:r>
      <w:r>
        <w:rPr>
          <w:rFonts w:ascii="仿宋_GB2312" w:eastAsia="仿宋_GB2312"/>
          <w:sz w:val="28"/>
          <w:szCs w:val="28"/>
        </w:rPr>
        <w:t>15.82</w:t>
      </w:r>
      <w:r>
        <w:rPr>
          <w:rFonts w:hint="eastAsia" w:ascii="仿宋_GB2312" w:eastAsia="仿宋_GB2312"/>
          <w:sz w:val="28"/>
          <w:szCs w:val="28"/>
        </w:rPr>
        <w:t>万元。其中：</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1.因公出国（境）费用。2025年度决算数0万元，比2025年度年初预算数0万元增加（减少）0万元。主要原因：没有此类支出；2025年度组织因公出国（境）团组0个、0人次，人均因公出国（境）费用0万元。</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2.公务接待费。2025年度决算数0万元，比2025年度年初预算数0万元增加（减少）0万元。主要原因：没有此类支出。公务接待0批次，公务接待0人次。</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3.公务用车购置及运行维护费。2025年度决算数15.83万元，比2025年度年初预算数31.65万元减少15.82万元。</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其中，公务用车购置费2025年度决算数0万元，</w:t>
      </w:r>
      <w:r>
        <w:rPr>
          <w:rFonts w:hint="eastAsia" w:ascii="仿宋_GB2312" w:eastAsia="仿宋_GB2312"/>
          <w:sz w:val="28"/>
          <w:szCs w:val="28"/>
          <w:lang w:eastAsia="zh-CN"/>
        </w:rPr>
        <w:t>与</w:t>
      </w:r>
      <w:r>
        <w:rPr>
          <w:rFonts w:hint="eastAsia" w:ascii="仿宋_GB2312" w:eastAsia="仿宋_GB2312"/>
          <w:sz w:val="28"/>
          <w:szCs w:val="28"/>
        </w:rPr>
        <w:t>2025年度年初预算数0万元</w:t>
      </w:r>
      <w:r>
        <w:rPr>
          <w:rFonts w:hint="eastAsia" w:ascii="仿宋_GB2312" w:eastAsia="仿宋_GB2312"/>
          <w:sz w:val="28"/>
          <w:szCs w:val="28"/>
          <w:lang w:eastAsia="zh-CN"/>
        </w:rPr>
        <w:t>一致</w:t>
      </w:r>
      <w:r>
        <w:rPr>
          <w:rFonts w:hint="eastAsia" w:ascii="仿宋_GB2312" w:eastAsia="仿宋_GB2312"/>
          <w:sz w:val="28"/>
          <w:szCs w:val="28"/>
        </w:rPr>
        <w:t>。主要原因：没有购置新车，2025年度购置（更新）0辆。公务用车运行维护费2025年度决算数15.83万元，主要原因：缩减日常开支。2025年度公务用车运行维护费中，公务用车加油9万元，公务用车维修4.61万元，公务用车保险2.09万元，公务用车其他支出0.13万元。</w:t>
      </w:r>
      <w:r>
        <w:rPr>
          <w:rFonts w:hint="eastAsia" w:ascii="仿宋_GB2312" w:eastAsia="仿宋_GB2312"/>
          <w:sz w:val="28"/>
          <w:szCs w:val="28"/>
          <w:lang w:eastAsia="zh-CN"/>
        </w:rPr>
        <w:t>2025</w:t>
      </w:r>
      <w:r>
        <w:rPr>
          <w:rFonts w:hint="eastAsia" w:ascii="仿宋_GB2312" w:eastAsia="仿宋_GB2312"/>
          <w:sz w:val="28"/>
          <w:szCs w:val="28"/>
        </w:rPr>
        <w:t>年度公务用车保有量</w:t>
      </w:r>
      <w:r>
        <w:rPr>
          <w:rFonts w:ascii="仿宋_GB2312" w:eastAsia="仿宋_GB2312"/>
          <w:sz w:val="28"/>
          <w:szCs w:val="28"/>
        </w:rPr>
        <w:t>38</w:t>
      </w:r>
      <w:r>
        <w:rPr>
          <w:rFonts w:hint="eastAsia" w:ascii="仿宋_GB2312" w:eastAsia="仿宋_GB2312"/>
          <w:sz w:val="28"/>
          <w:szCs w:val="28"/>
        </w:rPr>
        <w:t>辆。</w:t>
      </w: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ind w:firstLine="537" w:firstLineChars="192"/>
        <w:rPr>
          <w:rFonts w:hint="eastAsia" w:ascii="仿宋_GB2312" w:eastAsia="仿宋_GB2312"/>
          <w:sz w:val="28"/>
          <w:szCs w:val="28"/>
        </w:rPr>
      </w:pPr>
      <w:r>
        <w:rPr>
          <w:rFonts w:hint="eastAsia" w:ascii="仿宋_GB2312" w:eastAsia="仿宋_GB2312"/>
          <w:sz w:val="28"/>
          <w:szCs w:val="28"/>
          <w:highlight w:val="none"/>
          <w:lang w:eastAsia="zh-CN"/>
        </w:rPr>
        <w:t>2025年度使用财政拨款安排的基本支出中的日常公用经费支出，合计157.84万元，比上年增加32.48万元，增加原因：维修经费增加。</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年度政府采购支出总额</w:t>
      </w:r>
      <w:r>
        <w:rPr>
          <w:rFonts w:ascii="仿宋_GB2312" w:eastAsia="仿宋_GB2312"/>
          <w:sz w:val="28"/>
          <w:szCs w:val="28"/>
        </w:rPr>
        <w:t>4647.38</w:t>
      </w:r>
      <w:r>
        <w:rPr>
          <w:rFonts w:hint="eastAsia" w:ascii="仿宋_GB2312" w:eastAsia="仿宋_GB2312"/>
          <w:sz w:val="28"/>
          <w:szCs w:val="28"/>
        </w:rPr>
        <w:t>万元，其中：政府采购货物支出</w:t>
      </w:r>
      <w:r>
        <w:rPr>
          <w:rFonts w:ascii="仿宋_GB2312" w:eastAsia="仿宋_GB2312"/>
          <w:sz w:val="28"/>
          <w:szCs w:val="28"/>
        </w:rPr>
        <w:t>163.47</w:t>
      </w:r>
      <w:r>
        <w:rPr>
          <w:rFonts w:hint="eastAsia" w:ascii="仿宋_GB2312" w:eastAsia="仿宋_GB2312"/>
          <w:sz w:val="28"/>
          <w:szCs w:val="28"/>
        </w:rPr>
        <w:t>万元，政府采购工程支出</w:t>
      </w:r>
      <w:r>
        <w:rPr>
          <w:rFonts w:ascii="仿宋_GB2312" w:eastAsia="仿宋_GB2312"/>
          <w:sz w:val="28"/>
          <w:szCs w:val="28"/>
        </w:rPr>
        <w:t>3458.09</w:t>
      </w:r>
      <w:r>
        <w:rPr>
          <w:rFonts w:hint="eastAsia" w:ascii="仿宋_GB2312" w:eastAsia="仿宋_GB2312"/>
          <w:sz w:val="28"/>
          <w:szCs w:val="28"/>
        </w:rPr>
        <w:t>万元，政府采购服务支出</w:t>
      </w:r>
      <w:r>
        <w:rPr>
          <w:rFonts w:ascii="仿宋_GB2312" w:eastAsia="仿宋_GB2312"/>
          <w:sz w:val="28"/>
          <w:szCs w:val="28"/>
        </w:rPr>
        <w:t>1025.82</w:t>
      </w:r>
      <w:r>
        <w:rPr>
          <w:rFonts w:hint="eastAsia" w:ascii="仿宋_GB2312" w:eastAsia="仿宋_GB2312"/>
          <w:sz w:val="28"/>
          <w:szCs w:val="28"/>
        </w:rPr>
        <w:t>万元。授予中小企业合同金额</w:t>
      </w:r>
      <w:r>
        <w:rPr>
          <w:rFonts w:ascii="仿宋_GB2312" w:eastAsia="仿宋_GB2312"/>
          <w:sz w:val="28"/>
          <w:szCs w:val="28"/>
        </w:rPr>
        <w:t>4636.71</w:t>
      </w:r>
      <w:r>
        <w:rPr>
          <w:rFonts w:hint="eastAsia" w:ascii="仿宋_GB2312" w:eastAsia="仿宋_GB2312"/>
          <w:sz w:val="28"/>
          <w:szCs w:val="28"/>
        </w:rPr>
        <w:t>万元，占政府采购支出总额的</w:t>
      </w:r>
      <w:r>
        <w:rPr>
          <w:rFonts w:hint="eastAsia" w:ascii="仿宋_GB2312" w:eastAsia="仿宋_GB2312"/>
          <w:sz w:val="28"/>
          <w:szCs w:val="28"/>
          <w:lang w:eastAsia="zh-CN"/>
        </w:rPr>
        <w:t>99.77</w:t>
      </w:r>
      <w:r>
        <w:rPr>
          <w:rFonts w:hint="eastAsia" w:ascii="仿宋_GB2312" w:eastAsia="仿宋_GB2312"/>
          <w:sz w:val="28"/>
          <w:szCs w:val="28"/>
        </w:rPr>
        <w:t>%，其中：授予小微企业合同金额</w:t>
      </w:r>
      <w:r>
        <w:rPr>
          <w:rFonts w:ascii="仿宋_GB2312" w:eastAsia="仿宋_GB2312"/>
          <w:sz w:val="28"/>
          <w:szCs w:val="28"/>
        </w:rPr>
        <w:t>4620.57</w:t>
      </w:r>
      <w:r>
        <w:rPr>
          <w:rFonts w:hint="eastAsia" w:ascii="仿宋_GB2312" w:eastAsia="仿宋_GB2312"/>
          <w:sz w:val="28"/>
          <w:szCs w:val="28"/>
        </w:rPr>
        <w:t>万元，占政府采购支出总额的</w:t>
      </w:r>
      <w:r>
        <w:rPr>
          <w:rFonts w:ascii="仿宋_GB2312" w:eastAsia="仿宋_GB2312"/>
          <w:sz w:val="28"/>
          <w:szCs w:val="28"/>
        </w:rPr>
        <w:t>99.42</w:t>
      </w:r>
      <w:r>
        <w:rPr>
          <w:rFonts w:hint="eastAsia" w:ascii="仿宋_GB2312" w:eastAsia="仿宋_GB2312"/>
          <w:sz w:val="28"/>
          <w:szCs w:val="28"/>
        </w:rPr>
        <w:t>%。</w:t>
      </w:r>
    </w:p>
    <w:p>
      <w:pPr>
        <w:ind w:firstLine="560" w:firstLineChars="200"/>
        <w:rPr>
          <w:rFonts w:hint="eastAsia" w:ascii="黑体" w:eastAsia="黑体"/>
          <w:sz w:val="28"/>
          <w:szCs w:val="28"/>
          <w:highlight w:val="yellow"/>
        </w:rPr>
      </w:pPr>
      <w:r>
        <w:rPr>
          <w:rFonts w:hint="eastAsia" w:ascii="黑体" w:eastAsia="黑体"/>
          <w:sz w:val="28"/>
          <w:szCs w:val="28"/>
          <w:highlight w:val="none"/>
        </w:rPr>
        <w:t>四、国有资产占用情况</w:t>
      </w:r>
    </w:p>
    <w:p>
      <w:pPr>
        <w:ind w:firstLine="560" w:firstLineChars="200"/>
        <w:rPr>
          <w:rFonts w:ascii="仿宋_GB2312" w:eastAsia="仿宋_GB2312"/>
          <w:sz w:val="32"/>
          <w:szCs w:val="32"/>
        </w:rPr>
      </w:pPr>
      <w:r>
        <w:rPr>
          <w:rFonts w:hint="eastAsia" w:ascii="仿宋_GB2312" w:eastAsia="仿宋_GB2312"/>
          <w:sz w:val="28"/>
          <w:szCs w:val="28"/>
          <w:lang w:eastAsia="zh-CN"/>
        </w:rPr>
        <w:t>截至</w:t>
      </w:r>
      <w:r>
        <w:rPr>
          <w:rFonts w:hint="eastAsia" w:ascii="仿宋_GB2312" w:eastAsia="仿宋_GB2312"/>
          <w:sz w:val="28"/>
          <w:szCs w:val="28"/>
          <w:lang w:val="en-US" w:eastAsia="zh-CN"/>
        </w:rPr>
        <w:t>12月31日，北京市密云区西田各庄镇</w:t>
      </w:r>
      <w:r>
        <w:rPr>
          <w:rFonts w:hint="eastAsia" w:ascii="仿宋_GB2312" w:eastAsia="仿宋_GB2312"/>
          <w:sz w:val="28"/>
          <w:szCs w:val="28"/>
          <w:lang w:eastAsia="zh-CN"/>
        </w:rPr>
        <w:t>共有</w:t>
      </w:r>
      <w:r>
        <w:rPr>
          <w:rFonts w:hint="eastAsia" w:ascii="仿宋_GB2312" w:eastAsia="仿宋_GB2312"/>
          <w:sz w:val="28"/>
          <w:szCs w:val="28"/>
        </w:rPr>
        <w:t>车辆</w:t>
      </w:r>
      <w:r>
        <w:rPr>
          <w:rFonts w:hint="eastAsia" w:ascii="仿宋_GB2312" w:eastAsia="仿宋_GB2312"/>
          <w:sz w:val="28"/>
          <w:szCs w:val="28"/>
          <w:lang w:val="en-US" w:eastAsia="zh-CN"/>
        </w:rPr>
        <w:t>38</w:t>
      </w:r>
      <w:r>
        <w:rPr>
          <w:rFonts w:hint="eastAsia" w:ascii="仿宋_GB2312" w:eastAsia="仿宋_GB2312"/>
          <w:sz w:val="28"/>
          <w:szCs w:val="28"/>
        </w:rPr>
        <w:t>台；单位价值100万元</w:t>
      </w:r>
      <w:r>
        <w:rPr>
          <w:rFonts w:hint="eastAsia" w:ascii="仿宋_GB2312" w:eastAsia="仿宋_GB2312"/>
          <w:sz w:val="28"/>
          <w:szCs w:val="28"/>
          <w:lang w:eastAsia="zh-CN"/>
        </w:rPr>
        <w:t>（含）</w:t>
      </w:r>
      <w:r>
        <w:rPr>
          <w:rFonts w:hint="eastAsia" w:ascii="仿宋_GB2312" w:eastAsia="仿宋_GB2312"/>
          <w:sz w:val="28"/>
          <w:szCs w:val="28"/>
        </w:rPr>
        <w:t>以上的设备</w:t>
      </w:r>
      <w:r>
        <w:rPr>
          <w:rFonts w:hint="eastAsia" w:ascii="仿宋_GB2312" w:eastAsia="仿宋_GB2312"/>
          <w:sz w:val="28"/>
          <w:szCs w:val="28"/>
          <w:lang w:val="en-US" w:eastAsia="zh-CN"/>
        </w:rPr>
        <w:t>2</w:t>
      </w:r>
      <w:r>
        <w:rPr>
          <w:rFonts w:hint="eastAsia" w:ascii="仿宋_GB2312" w:eastAsia="仿宋_GB2312"/>
          <w:sz w:val="28"/>
          <w:szCs w:val="28"/>
        </w:rPr>
        <w:t>台（套）。</w:t>
      </w:r>
    </w:p>
    <w:p>
      <w:pPr>
        <w:ind w:firstLine="560" w:firstLineChars="200"/>
        <w:jc w:val="left"/>
        <w:rPr>
          <w:rFonts w:hint="eastAsia" w:ascii="仿宋_GB2312" w:eastAsia="仿宋_GB2312"/>
          <w:color w:val="000000"/>
          <w:sz w:val="32"/>
          <w:szCs w:val="32"/>
        </w:rPr>
      </w:pPr>
      <w:r>
        <w:rPr>
          <w:rFonts w:hint="eastAsia" w:ascii="黑体" w:eastAsia="黑体"/>
          <w:sz w:val="28"/>
          <w:szCs w:val="28"/>
          <w:lang w:val="en-US" w:eastAsia="zh-CN"/>
        </w:rPr>
        <w:t>五</w:t>
      </w:r>
      <w:r>
        <w:rPr>
          <w:rFonts w:hint="eastAsia" w:ascii="黑体" w:eastAsia="黑体"/>
          <w:sz w:val="28"/>
          <w:szCs w:val="28"/>
        </w:rPr>
        <w:t>、</w:t>
      </w:r>
      <w:r>
        <w:rPr>
          <w:rFonts w:ascii="黑体" w:eastAsia="黑体"/>
          <w:sz w:val="28"/>
          <w:szCs w:val="28"/>
        </w:rPr>
        <w:t>专业名词解释</w:t>
      </w:r>
    </w:p>
    <w:p>
      <w:pPr>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1.基本支出：指为保障机构正常运转、完成日常工作任务而发生的人员支出和公用支出。</w:t>
      </w:r>
    </w:p>
    <w:p>
      <w:pPr>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2.项目支出：指在基本支出之外为完成特定行政任务或事业发展目标所发生的支出。</w:t>
      </w:r>
    </w:p>
    <w:p>
      <w:pPr>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3.“三公”经费：是指单位通过财政拨款资金安排的因公出国（境）费、公务用车购置及运行费和公务接待费。</w:t>
      </w:r>
    </w:p>
    <w:p>
      <w:pPr>
        <w:ind w:firstLine="560" w:firstLineChars="200"/>
        <w:rPr>
          <w:rFonts w:hint="eastAsia"/>
          <w:lang w:val="en-US" w:eastAsia="zh-CN"/>
        </w:rPr>
      </w:pPr>
      <w:r>
        <w:rPr>
          <w:rFonts w:hint="eastAsia" w:ascii="仿宋_GB2312" w:hAnsi="Times New Roman" w:eastAsia="仿宋_GB2312" w:cs="Times New Roman"/>
          <w:sz w:val="28"/>
          <w:szCs w:val="28"/>
        </w:rPr>
        <w:t>4.</w:t>
      </w:r>
      <w:r>
        <w:rPr>
          <w:rFonts w:hint="eastAsia" w:ascii="仿宋_GB2312" w:eastAsia="仿宋_GB2312" w:cs="Times New Roman"/>
          <w:sz w:val="28"/>
          <w:szCs w:val="28"/>
          <w:lang w:val="en-US" w:eastAsia="zh-CN"/>
        </w:rPr>
        <w:t>机关运行经费</w:t>
      </w:r>
      <w:r>
        <w:rPr>
          <w:rFonts w:hint="eastAsia" w:ascii="仿宋_GB2312" w:hAnsi="Times New Roman" w:eastAsia="仿宋_GB2312" w:cs="Times New Roman"/>
          <w:sz w:val="28"/>
          <w:szCs w:val="28"/>
        </w:rPr>
        <w:t>：</w:t>
      </w:r>
      <w:r>
        <w:rPr>
          <w:rFonts w:hint="eastAsia" w:ascii="仿宋_GB2312" w:eastAsia="仿宋_GB2312" w:cs="Times New Roman"/>
          <w:sz w:val="28"/>
          <w:szCs w:val="28"/>
          <w:lang w:val="en-US" w:eastAsia="zh-CN"/>
        </w:rPr>
        <w:t>反映为保障行政单位（包括参照公务员法管理的事业单位）运行用于购买货物和服务的各项资金，包括办公费、会议费、培训费、委托业务费、公务接待费、公务用车运行维护费、维修（护）费及其他费用</w:t>
      </w:r>
      <w:r>
        <w:rPr>
          <w:rFonts w:hint="eastAsia" w:ascii="仿宋_GB2312" w:hAnsi="Times New Roman" w:eastAsia="仿宋_GB2312" w:cs="Times New Roman"/>
          <w:sz w:val="28"/>
          <w:szCs w:val="28"/>
        </w:rPr>
        <w:t>。</w:t>
      </w:r>
    </w:p>
    <w:p>
      <w:pPr>
        <w:ind w:firstLine="560" w:firstLineChars="200"/>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rPr>
        <w:t>.政府采购：指各级国家机关、事业单位和团体组织，使用财政性资金采购依法制定的集中目录以内的或者采购限额标准以上的货物、工程和服务的行为，是规范财政支出管理和强化预算约束的有效措施。</w:t>
      </w:r>
    </w:p>
    <w:p>
      <w:pPr>
        <w:ind w:firstLine="560" w:firstLineChars="200"/>
        <w:rPr>
          <w:rFonts w:hint="eastAsia" w:ascii="仿宋_GB2312" w:hAnsi="Times New Roman" w:eastAsia="仿宋_GB2312" w:cs="Times New Roman"/>
          <w:b w:val="0"/>
          <w:bCs/>
          <w:sz w:val="28"/>
          <w:szCs w:val="28"/>
          <w:lang w:val="en-US" w:eastAsia="zh-CN"/>
        </w:rPr>
      </w:pP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rPr>
        <w:t>.一般公共服务支出（类）：反映行政单位（包括实行公务员管理的事业单位）提供一般公共服务的支出；公共安全支出(类)：反映行政单位（包括实行公务员管理的事业单位）维护社会公共安全方面的支出;“文化旅游体育与传媒支出”（类）：反映行政单位（包括实行公务员管理的事业单位）在文化、旅游、文物、体育、广播电视、电影、新闻出版等方面的支出；社会保障和就业支出（类）：反映行政单位（包括实行公务员管理的事业单位）在社会保障与就业方面的支出；卫生健康支出（类）：反映行政单位（包括实行公务员管理的事业单位）在卫生健康方面的支出；节能环保支出（类）：反映行政单位（包括实行公务员管理的事业单位）节能环保支出。城乡社区支出（类）：反映行政单位（包括实行公务员管理的事业单位）城乡社区事务支出；农林水支出（类）：反映行政单位（包括实行公务员管理的事业单位）农林水事务支出；资源勘探工业信息等支出(类)：反映行政单位（包括实行公务员管理的事业单位）用于资源勘探、制造业、建筑业、工业信息等方面支出。灾害防治及应急管理支出(类)反映行政单位（包括实行公务员管理的事业单位）用于自然灾害防治、安全生产监管及应急物资储备的支出。</w:t>
      </w:r>
    </w:p>
    <w:p>
      <w:pPr>
        <w:ind w:firstLine="420" w:firstLineChars="150"/>
        <w:rPr>
          <w:rFonts w:hint="eastAsia" w:ascii="仿宋_GB2312" w:eastAsia="仿宋_GB2312"/>
          <w:sz w:val="28"/>
          <w:szCs w:val="28"/>
        </w:rPr>
      </w:pPr>
    </w:p>
    <w:p>
      <w:pPr>
        <w:pStyle w:val="2"/>
        <w:rPr>
          <w:rFonts w:hint="eastAsia"/>
        </w:rPr>
      </w:pPr>
    </w:p>
    <w:p>
      <w:pPr>
        <w:jc w:val="both"/>
        <w:rPr>
          <w:rFonts w:hint="eastAsia" w:ascii="黑体" w:eastAsia="黑体"/>
          <w:sz w:val="32"/>
          <w:szCs w:val="32"/>
        </w:rPr>
      </w:pPr>
    </w:p>
    <w:p>
      <w:pPr>
        <w:tabs>
          <w:tab w:val="center" w:pos="6979"/>
        </w:tabs>
        <w:spacing w:line="380" w:lineRule="exact"/>
        <w:jc w:val="center"/>
        <w:rPr>
          <w:rFonts w:ascii="宋体" w:hAnsi="宋体" w:cs="宋体"/>
          <w:b/>
          <w:bCs/>
          <w:kern w:val="0"/>
          <w:sz w:val="28"/>
          <w:szCs w:val="28"/>
        </w:rPr>
      </w:pPr>
    </w:p>
    <w:p>
      <w:pPr>
        <w:tabs>
          <w:tab w:val="center" w:pos="6979"/>
        </w:tabs>
        <w:spacing w:line="380" w:lineRule="exact"/>
        <w:jc w:val="center"/>
        <w:rPr>
          <w:rFonts w:ascii="宋体" w:hAnsi="宋体" w:cs="宋体"/>
          <w:b/>
          <w:bCs/>
          <w:kern w:val="0"/>
          <w:sz w:val="28"/>
          <w:szCs w:val="28"/>
        </w:rPr>
      </w:pPr>
    </w:p>
    <w:p>
      <w:pPr>
        <w:jc w:val="both"/>
        <w:rPr>
          <w:rFonts w:hint="eastAsia" w:ascii="黑体" w:eastAsia="黑体"/>
          <w:sz w:val="32"/>
          <w:szCs w:val="32"/>
        </w:rPr>
      </w:pPr>
    </w:p>
    <w:p>
      <w:pPr>
        <w:ind w:firstLine="640" w:firstLineChars="200"/>
        <w:jc w:val="center"/>
        <w:rPr>
          <w:rFonts w:hint="eastAsia" w:ascii="黑体" w:eastAsia="黑体"/>
          <w:sz w:val="32"/>
          <w:szCs w:val="32"/>
        </w:rPr>
      </w:pPr>
    </w:p>
    <w:p>
      <w:pPr>
        <w:ind w:firstLine="640" w:firstLineChars="200"/>
        <w:jc w:val="center"/>
        <w:rPr>
          <w:rFonts w:hint="eastAsia" w:ascii="黑体" w:eastAsia="黑体"/>
          <w:sz w:val="32"/>
          <w:szCs w:val="32"/>
        </w:rPr>
      </w:pPr>
      <w:r>
        <w:rPr>
          <w:rFonts w:hint="eastAsia" w:ascii="黑体" w:eastAsia="黑体"/>
          <w:sz w:val="32"/>
          <w:szCs w:val="32"/>
        </w:rPr>
        <w:t xml:space="preserve">第四部分  </w:t>
      </w:r>
      <w:r>
        <w:rPr>
          <w:rFonts w:hint="eastAsia" w:ascii="黑体" w:eastAsia="黑体"/>
          <w:sz w:val="32"/>
          <w:szCs w:val="32"/>
          <w:lang w:eastAsia="zh-CN"/>
        </w:rPr>
        <w:t>2025</w:t>
      </w:r>
      <w:r>
        <w:rPr>
          <w:rFonts w:hint="eastAsia" w:ascii="黑体" w:eastAsia="黑体"/>
          <w:sz w:val="32"/>
          <w:szCs w:val="32"/>
        </w:rPr>
        <w:t>年度部门绩效评价情况</w:t>
      </w:r>
    </w:p>
    <w:p>
      <w:pPr>
        <w:ind w:firstLine="560" w:firstLineChars="200"/>
        <w:rPr>
          <w:rFonts w:hint="eastAsia" w:ascii="黑体" w:eastAsia="黑体"/>
          <w:sz w:val="28"/>
          <w:szCs w:val="28"/>
          <w:highlight w:val="yellow"/>
        </w:rPr>
      </w:pPr>
    </w:p>
    <w:p>
      <w:pPr>
        <w:numPr>
          <w:ilvl w:val="0"/>
          <w:numId w:val="1"/>
        </w:numPr>
        <w:ind w:firstLine="560" w:firstLineChars="200"/>
        <w:rPr>
          <w:rFonts w:hint="eastAsia" w:ascii="黑体" w:eastAsia="黑体"/>
          <w:sz w:val="28"/>
          <w:szCs w:val="28"/>
          <w:lang w:eastAsia="zh-CN"/>
        </w:rPr>
      </w:pPr>
      <w:r>
        <w:rPr>
          <w:rFonts w:hint="eastAsia" w:ascii="黑体" w:eastAsia="黑体"/>
          <w:sz w:val="28"/>
          <w:szCs w:val="28"/>
          <w:highlight w:val="none"/>
        </w:rPr>
        <w:t>部门整体绩效评价报告</w:t>
      </w:r>
    </w:p>
    <w:p>
      <w:pPr>
        <w:numPr>
          <w:ilvl w:val="0"/>
          <w:numId w:val="1"/>
        </w:numPr>
        <w:ind w:firstLine="560" w:firstLineChars="200"/>
        <w:rPr>
          <w:rFonts w:hint="eastAsia" w:ascii="黑体" w:eastAsia="黑体"/>
          <w:sz w:val="28"/>
          <w:szCs w:val="28"/>
          <w:lang w:eastAsia="zh-CN"/>
        </w:rPr>
      </w:pPr>
      <w:r>
        <w:rPr>
          <w:rFonts w:hint="eastAsia" w:ascii="黑体" w:eastAsia="黑体"/>
          <w:sz w:val="28"/>
          <w:szCs w:val="28"/>
        </w:rPr>
        <w:t>项目支出绩效评价报告</w:t>
      </w:r>
    </w:p>
    <w:p>
      <w:pPr>
        <w:numPr>
          <w:ilvl w:val="0"/>
          <w:numId w:val="1"/>
        </w:numPr>
        <w:ind w:firstLine="560" w:firstLineChars="200"/>
        <w:rPr>
          <w:rFonts w:hint="eastAsia" w:ascii="黑体" w:eastAsia="黑体"/>
          <w:sz w:val="28"/>
          <w:szCs w:val="28"/>
        </w:rPr>
      </w:pPr>
      <w:r>
        <w:rPr>
          <w:rFonts w:hint="eastAsia" w:ascii="黑体" w:eastAsia="黑体"/>
          <w:sz w:val="28"/>
          <w:szCs w:val="28"/>
        </w:rPr>
        <w:t>项目</w:t>
      </w:r>
      <w:r>
        <w:rPr>
          <w:rFonts w:ascii="黑体" w:eastAsia="黑体"/>
          <w:sz w:val="28"/>
          <w:szCs w:val="28"/>
        </w:rPr>
        <w:t>支出绩效自评表</w:t>
      </w:r>
    </w:p>
    <w:p>
      <w:pPr>
        <w:spacing w:line="480" w:lineRule="exact"/>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rPr>
      </w:pPr>
    </w:p>
    <w:p>
      <w:pPr>
        <w:spacing w:line="560" w:lineRule="exact"/>
        <w:jc w:val="left"/>
        <w:rPr>
          <w:rFonts w:hint="eastAsia" w:ascii="方正黑体_GBK" w:hAnsi="方正黑体_GBK" w:eastAsia="方正黑体_GBK" w:cs="方正黑体_GBK"/>
          <w:sz w:val="32"/>
          <w:szCs w:val="32"/>
        </w:rPr>
      </w:pPr>
    </w:p>
    <w:p>
      <w:pPr>
        <w:spacing w:line="560" w:lineRule="exact"/>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部门整体绩效</w:t>
      </w:r>
      <w:r>
        <w:rPr>
          <w:rFonts w:hint="eastAsia" w:ascii="方正小标宋简体" w:eastAsia="方正小标宋简体"/>
          <w:sz w:val="36"/>
          <w:szCs w:val="36"/>
          <w:highlight w:val="none"/>
          <w:lang w:eastAsia="zh-CN"/>
        </w:rPr>
        <w:t>评价</w:t>
      </w:r>
      <w:r>
        <w:rPr>
          <w:rFonts w:hint="eastAsia" w:ascii="方正小标宋简体" w:eastAsia="方正小标宋简体"/>
          <w:sz w:val="36"/>
          <w:szCs w:val="36"/>
          <w:highlight w:val="none"/>
        </w:rPr>
        <w:t>报告</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仿宋_GB2312"/>
          <w:szCs w:val="30"/>
          <w:highlight w:val="none"/>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一、部门概况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楷体_GB2312" w:eastAsia="楷体_GB2312"/>
          <w:sz w:val="32"/>
          <w:szCs w:val="32"/>
          <w:highlight w:val="none"/>
        </w:rPr>
      </w:pPr>
      <w:r>
        <w:rPr>
          <w:rFonts w:hint="eastAsia" w:ascii="楷体_GB2312" w:eastAsia="楷体_GB2312"/>
          <w:sz w:val="32"/>
          <w:szCs w:val="32"/>
          <w:highlight w:val="none"/>
        </w:rPr>
        <w:t>（一）机构设置及职责工作任务情况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西田各庄镇共设置行政机构13个。</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1.党群工作办公室（人大工作办公室）</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负责党的基层组织建设；负责党员的发展、教育和管理；负责干部思想政治工作；负责干部的选拔、培养、使用和监督；负责干部交流、考核、奖惩、工资福利、保险、人事档案、专业技术人员和老干部的管理以及统战工作; 负 责党的路线方针政策、先进经验和先进事迹等方面的宣传；负责精神文明建设；负责广播、通讯和信息工作；负责机关干部的政治理论学习等。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2.平安建设办公室（人民武装部、司法所）</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负责制定并落实社会治安综合治理规划和相关措施；负责治理危害国家安全和社会治安的各种行为；负责信访、人民调解、具体实施社区戒毒和康复、民兵、征兵、人民防空、地下空间治理、防震减灾、突发事件应对等相关工作；负责防范处理邪教工作；负责流动人口和出租房屋管理等。负责维护辖区社会稳定，加强群防群治组织建设，推动本镇社会治安综合治理各项措施的落实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3.城乡建设办公室</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负责区域内城乡规划工作；组织农村基础设施建设，受理农村地区住宅建设的申请工作；负责控制和查处辖区内违法建设；负责征地补偿安置、乡村道路建设养护、地质灾害群测群防、摸排无证无照经营等工作。</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4.经济发展办公室（统计所）</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负责负责财政预算、决算和收支管理，协助组织税收、内部审计、农村金融管理等。制定乡镇经济发展规划并组织实施；负责乡镇产业结构调整、投资项目引进的指导与服务；负责镇域内企业管理与服务、科技创新、信息产业发展；依法管理、开展统计工作。</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5.农业农村办公室</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负责制定乡镇农业发展规划和新农村</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建设规划；负责都市型现代农业发     展以及农业、林业、水务、畜牧产业管理；负责防汛抗旱、新农村建设、粮食直补、农业保险；负责农村公共设施维护；负责农民负担监督管理；负责指导农 村集体经济产业、农民专业合作社发展等。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6.综合保障办公室</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负责党务、政务、文书、机要、档案、应急、保密、督查督办、信息公开、外事、便民电话、后勤保障、网络管理、防震减灾等。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7.镇纪委、区监委派出西田各庄镇监察办公室</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依据宪法和监察法，根据区监委授权，依法履行对镇区管辖的公职人员和有关人员依法履职、秉公用权、廉洁从政从业及道德操守情况进行监督检查；对涉嫌职务违法人员进行调查；对行使职责中存在的问题提出监察建议。</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8.综合行政执法队</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负责辖区内赋权行政职权事项相关综合行政执法工作</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9.便民服务中心（退役军人服务站）</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负责落实各项社会救助和优抚政策，指导协调拥军优属、扶贫帮困等工作；负责老龄工作、残疾人保障及未成年人保护工作；负责基层民主政治建设;负责村民自治组织和村级政权建设；负责民族、宗教、侨务管理与服务；负责劳动者权益保护、劳动监察、就业促进、社会保障工作；负责制定社区建设与发展规划，落实社区建设的相关配套政策，指导社区服务站建设；负责社区管理与服务、社会组织和社会志愿者队伍建设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10.市民活动中心（党群活动中心、文化和旅游服务中心）</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负责人口与计划生育宣传教育；负责计划生育奖励政策执行；负责违法生育的社会抚养费的征缴；负责制定乡镇旅游业发展规划，乡村旅游业发展建设和日常管理等,负责制定并落实乡镇教育、科技、文化、卫生、体育发展规划；负责科普、群众性文化、体育等相关工作；负责医疗卫生机构和村公共卫生人员的管理和考核、公共卫生事业应急处置、疾病预防控制、妇幼保健；协助卫生监督执法和食品药品监管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11.生态环境保护中心</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负责制定并落实村镇建设发展规划和环境保护行动规划；负责市政基础设施建设与管理、市容环境卫生管理、环境保护工作，协助抓好水利建设和水资源管理；负责协调并监督城市管理综合行政执法工作，配合查处违章违法行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12.市民诉求处置中心（综治中心、城市管理指挥分中心）</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承担全镇大数据管理、网格化管理等与城市管理、社会管理密切相关 的事务性、辅助性工作；承担市民服务热线等交办事件的统一接收、按责转办、督办落实及统一答复工作；负责综合治理相关的事务性、辅助性工作；负责实体化综合执法平台的管理运行。</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13.经济发展服务中心（农业农村服务中心）</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负责全镇农业和农村经济发展工作；负责农村土地承包经营及承包经营合同管理，指导和监督农村集体资产管理工作；负责农民负担监督管理工作。</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楷体_GB2312" w:eastAsia="楷体_GB2312"/>
          <w:sz w:val="32"/>
          <w:szCs w:val="32"/>
          <w:highlight w:val="none"/>
        </w:rPr>
      </w:pPr>
      <w:r>
        <w:rPr>
          <w:rFonts w:hint="eastAsia" w:ascii="楷体_GB2312" w:eastAsia="楷体_GB2312"/>
          <w:sz w:val="32"/>
          <w:szCs w:val="32"/>
          <w:highlight w:val="none"/>
        </w:rPr>
        <w:t>（二）部门整体绩效目标设立情况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部门整体绩效目标，参考各科室工作任务，结合上级文件要求，主要涵盖以下内容：完善各村基础设施建设，优化镇域发展环境，大力发展农业产业工作，突出特色，推动镇域经济发展，抓好落实各项惠农惠民等民生工程，为创建平安村镇提供有力保障，丰富文化生活，夯实村镇两级精神文明建设，做好维稳、服务工作等。目标合理性体现在三个方面。一是科学性，以具体量化指标衡量；二是可行性，充分考量镇财政预算、人力资源等条件，确保目标可落地；三是可持续性，注重长短结合，为长期发展奠定坚实基础。</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二</w:t>
      </w:r>
      <w:r>
        <w:rPr>
          <w:rFonts w:ascii="黑体" w:hAnsi="黑体" w:eastAsia="黑体" w:cs="宋体"/>
          <w:color w:val="000000"/>
          <w:kern w:val="0"/>
          <w:sz w:val="32"/>
          <w:szCs w:val="32"/>
          <w:highlight w:val="none"/>
        </w:rPr>
        <w:t>、</w:t>
      </w:r>
      <w:r>
        <w:rPr>
          <w:rFonts w:hint="eastAsia" w:ascii="黑体" w:hAnsi="黑体" w:eastAsia="黑体" w:cs="宋体"/>
          <w:color w:val="000000"/>
          <w:kern w:val="0"/>
          <w:sz w:val="32"/>
          <w:szCs w:val="32"/>
          <w:highlight w:val="none"/>
        </w:rPr>
        <w:t>当年</w:t>
      </w:r>
      <w:r>
        <w:rPr>
          <w:rFonts w:ascii="黑体" w:hAnsi="黑体" w:eastAsia="黑体" w:cs="宋体"/>
          <w:color w:val="000000"/>
          <w:kern w:val="0"/>
          <w:sz w:val="32"/>
          <w:szCs w:val="32"/>
          <w:highlight w:val="none"/>
        </w:rPr>
        <w:t>预算执行情况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2025年全年预算数11617.34万元，其中，基本支出预算数3906.96万元，项目支出预算数7710.39万元，其他支出预算数0万元。资金总体支出51103.87万元，其中，基本支出4432.53万元，项目支出46671.34万元，其他支出0万元。预算执行率为439.89%。</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三</w:t>
      </w:r>
      <w:r>
        <w:rPr>
          <w:rFonts w:ascii="黑体" w:hAnsi="黑体" w:eastAsia="黑体" w:cs="宋体"/>
          <w:color w:val="000000"/>
          <w:kern w:val="0"/>
          <w:sz w:val="32"/>
          <w:szCs w:val="32"/>
          <w:highlight w:val="none"/>
        </w:rPr>
        <w:t>、整体绩效目标实现情况</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楷体_GB2312" w:eastAsia="楷体_GB2312"/>
          <w:sz w:val="32"/>
          <w:szCs w:val="32"/>
          <w:highlight w:val="none"/>
        </w:rPr>
      </w:pPr>
      <w:r>
        <w:rPr>
          <w:rFonts w:hint="eastAsia" w:ascii="楷体_GB2312" w:eastAsia="楷体_GB2312"/>
          <w:sz w:val="32"/>
          <w:szCs w:val="32"/>
          <w:highlight w:val="none"/>
        </w:rPr>
        <w:t>（一）产出完成情况分析</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1.产出数量​</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在预算绩效管理工作推进中，全面完成既定任务数量目标。对20个年初预算项目开展自查，覆盖率达100%；组织召开项目推进专题会议3次，培训工作人员2场。​</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2.产出质量​</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从质量评估结果来看，各项工作成果达到预期标准。自查工作严格遵循相关规范，对每个项目的资金使用、实施进度等进行核查。组织的培训活动内容贴合实际工作需求，通过理论讲解与案例分析相结合的方式，有效提升了工作人员的专业素养。​</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3.产出进度​</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绩效管理工作进度与计划目标相对契合，各阶段任务按计划完成。</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4.产出成本​</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通过优化工作流程、整合资源，有效控制了绩效管理工作成本。</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楷体_GB2312" w:eastAsia="楷体_GB2312"/>
          <w:sz w:val="32"/>
          <w:szCs w:val="32"/>
          <w:highlight w:val="none"/>
        </w:rPr>
      </w:pPr>
      <w:r>
        <w:rPr>
          <w:rFonts w:hint="eastAsia" w:ascii="楷体_GB2312" w:eastAsia="楷体_GB2312"/>
          <w:sz w:val="32"/>
          <w:szCs w:val="32"/>
          <w:highlight w:val="none"/>
        </w:rPr>
        <w:t>（二）效果实现情况分析​</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1.经济效益​</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预算绩效管理工作的有效开展，实现了财政资金的高效利用。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2.社会效益​</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在民生领域，确保了重点保障项目资金足额到位，改善了公共服务条件。通过规范预算管理，增强了政府财政透明度，提升了政府公信力。此外，通过组织培训，培养专业人才。</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3.环境效益​</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在项目开展中，注重引导财政资金向生态环保领域投入，有效改善了镇域生态环境，为居民营造了更宜居的生活环境。​</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4.可持续性影响​</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通过建立完善的绩效管理制度体系，形成了预算编制有目标、预算执行有监控、预算完成有评价、评价结果有应用的闭环管理模式，确保财政资金使用的科学性和规范性能够长期保持。</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5.服务对象满意度​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针对服务对象满意度情况，镇政府将制定改进方案，优化工作流程，不断提升服务水平，增强服务对象满意度。​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四</w:t>
      </w:r>
      <w:r>
        <w:rPr>
          <w:rFonts w:ascii="黑体" w:hAnsi="黑体" w:eastAsia="黑体" w:cs="宋体"/>
          <w:color w:val="000000"/>
          <w:kern w:val="0"/>
          <w:sz w:val="32"/>
          <w:szCs w:val="32"/>
          <w:highlight w:val="none"/>
        </w:rPr>
        <w:t>、预算管理</w:t>
      </w:r>
      <w:r>
        <w:rPr>
          <w:rFonts w:hint="eastAsia" w:ascii="黑体" w:hAnsi="黑体" w:eastAsia="黑体" w:cs="宋体"/>
          <w:color w:val="000000"/>
          <w:kern w:val="0"/>
          <w:sz w:val="32"/>
          <w:szCs w:val="32"/>
          <w:highlight w:val="none"/>
        </w:rPr>
        <w:t>情况分</w:t>
      </w:r>
      <w:r>
        <w:rPr>
          <w:rFonts w:ascii="黑体" w:hAnsi="黑体" w:eastAsia="黑体" w:cs="宋体"/>
          <w:color w:val="000000"/>
          <w:kern w:val="0"/>
          <w:sz w:val="32"/>
          <w:szCs w:val="32"/>
          <w:highlight w:val="none"/>
        </w:rPr>
        <w:t>析</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ascii="楷体_GB2312" w:eastAsia="楷体_GB2312"/>
          <w:sz w:val="32"/>
          <w:szCs w:val="32"/>
          <w:highlight w:val="none"/>
        </w:rPr>
      </w:pPr>
      <w:r>
        <w:rPr>
          <w:rFonts w:hint="eastAsia" w:ascii="楷体_GB2312" w:eastAsia="楷体_GB2312"/>
          <w:sz w:val="32"/>
          <w:szCs w:val="32"/>
          <w:highlight w:val="none"/>
        </w:rPr>
        <w:t>（一）财务管理</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lang w:val="en-US" w:eastAsia="zh-CN"/>
        </w:rPr>
        <w:t xml:space="preserve">    </w:t>
      </w:r>
      <w:r>
        <w:rPr>
          <w:rFonts w:hint="eastAsia" w:ascii="仿宋_GB2312" w:hAnsi="宋体" w:eastAsia="仿宋_GB2312" w:cs="宋体"/>
          <w:color w:val="000000"/>
          <w:kern w:val="0"/>
          <w:sz w:val="32"/>
          <w:szCs w:val="32"/>
          <w:highlight w:val="none"/>
        </w:rPr>
        <w:t>在本年度预算绩效管理工作中，我单位加强绩效目标意识，提高绩效目标申报的规范性。绩效目标是预算绩效管理的基础，是整个预算绩效管理系统的前提。因此在2025年年初申报项目时，针对绩效目标填报问题，我单位专门开展了绩效管理目标培训，提升绩效指标设置合理性，使部门整体绩效考核具有可操作性。进一步加强预算编制管理，提高年初预算绩效目标制定的可行性、科学性，梳理全年重点工作，制定切实可行的项目执行绩效目标，确保绩效目标如期完成。</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楷体_GB2312" w:eastAsia="楷体_GB2312"/>
          <w:sz w:val="32"/>
          <w:szCs w:val="32"/>
          <w:highlight w:val="none"/>
        </w:rPr>
      </w:pPr>
      <w:r>
        <w:rPr>
          <w:rFonts w:hint="eastAsia" w:ascii="楷体_GB2312" w:eastAsia="楷体_GB2312"/>
          <w:sz w:val="32"/>
          <w:szCs w:val="32"/>
          <w:highlight w:val="none"/>
        </w:rPr>
        <w:t>（二）资产管理</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建立资产台账，实现动态管理，清查盘点固定资产，明确资产使用责任人。优化资产配置，提高资产利用率，减少重复购置成本。</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ascii="楷体_GB2312" w:eastAsia="楷体_GB2312"/>
          <w:sz w:val="32"/>
          <w:szCs w:val="32"/>
          <w:highlight w:val="none"/>
        </w:rPr>
      </w:pPr>
      <w:r>
        <w:rPr>
          <w:rFonts w:hint="eastAsia" w:ascii="楷体_GB2312" w:eastAsia="楷体_GB2312"/>
          <w:sz w:val="32"/>
          <w:szCs w:val="32"/>
          <w:highlight w:val="none"/>
        </w:rPr>
        <w:t>（三）绩效</w:t>
      </w:r>
      <w:r>
        <w:rPr>
          <w:rFonts w:ascii="楷体_GB2312" w:eastAsia="楷体_GB2312"/>
          <w:sz w:val="32"/>
          <w:szCs w:val="32"/>
          <w:highlight w:val="none"/>
        </w:rPr>
        <w:t>管理</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完善绩效管理制度，将绩效目标贯穿预算编制、执行、评价全过程。强化结果应用，将绩效评价结果与预算安排挂钩，对低效项目核减下年度预算。</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ascii="楷体_GB2312" w:eastAsia="楷体_GB2312"/>
          <w:sz w:val="32"/>
          <w:szCs w:val="32"/>
          <w:highlight w:val="none"/>
        </w:rPr>
      </w:pPr>
      <w:r>
        <w:rPr>
          <w:rFonts w:hint="eastAsia" w:ascii="楷体_GB2312" w:eastAsia="楷体_GB2312"/>
          <w:sz w:val="32"/>
          <w:szCs w:val="32"/>
          <w:highlight w:val="none"/>
        </w:rPr>
        <w:t>（四）部门</w:t>
      </w:r>
      <w:r>
        <w:rPr>
          <w:rFonts w:ascii="楷体_GB2312" w:eastAsia="楷体_GB2312"/>
          <w:sz w:val="32"/>
          <w:szCs w:val="32"/>
          <w:highlight w:val="none"/>
        </w:rPr>
        <w:t>预决算差异率</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楷体_GB2312" w:eastAsia="楷体_GB2312"/>
          <w:sz w:val="32"/>
          <w:szCs w:val="32"/>
          <w:highlight w:val="none"/>
        </w:rPr>
      </w:pPr>
      <w:r>
        <w:rPr>
          <w:rFonts w:hint="eastAsia" w:ascii="仿宋_GB2312" w:hAnsi="宋体" w:eastAsia="仿宋_GB2312" w:cs="宋体"/>
          <w:color w:val="000000"/>
          <w:kern w:val="0"/>
          <w:sz w:val="32"/>
          <w:szCs w:val="32"/>
          <w:highlight w:val="none"/>
          <w:lang w:val="en-US" w:eastAsia="zh-CN"/>
        </w:rPr>
        <w:t xml:space="preserve"> 加强预决算编制审核，严格控制部门预决算差异率。通过细化预算编制项目、准确预估收支情况，减少执行偏差，保障财政资金使用的准确性与规范性。</w:t>
      </w:r>
      <w:r>
        <w:rPr>
          <w:rFonts w:hint="eastAsia" w:ascii="楷体_GB2312" w:eastAsia="楷体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ascii="黑体" w:hAnsi="黑体" w:eastAsia="黑体"/>
          <w:sz w:val="32"/>
          <w:szCs w:val="32"/>
          <w:highlight w:val="none"/>
        </w:rPr>
      </w:pPr>
      <w:r>
        <w:rPr>
          <w:rFonts w:hint="eastAsia" w:ascii="黑体" w:hAnsi="黑体" w:eastAsia="黑体"/>
          <w:sz w:val="32"/>
          <w:szCs w:val="32"/>
          <w:highlight w:val="none"/>
        </w:rPr>
        <w:t>五、总体</w:t>
      </w:r>
      <w:r>
        <w:rPr>
          <w:rFonts w:ascii="黑体" w:hAnsi="黑体" w:eastAsia="黑体"/>
          <w:sz w:val="32"/>
          <w:szCs w:val="32"/>
          <w:highlight w:val="none"/>
        </w:rPr>
        <w:t>评价结论</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楷体_GB2312" w:eastAsia="楷体_GB2312"/>
          <w:sz w:val="32"/>
          <w:szCs w:val="32"/>
          <w:highlight w:val="none"/>
        </w:rPr>
      </w:pPr>
      <w:r>
        <w:rPr>
          <w:rFonts w:hint="eastAsia" w:ascii="楷体_GB2312" w:eastAsia="楷体_GB2312"/>
          <w:sz w:val="32"/>
          <w:szCs w:val="32"/>
          <w:highlight w:val="none"/>
        </w:rPr>
        <w:t>（一）评价</w:t>
      </w:r>
      <w:r>
        <w:rPr>
          <w:rFonts w:ascii="楷体_GB2312" w:eastAsia="楷体_GB2312"/>
          <w:sz w:val="32"/>
          <w:szCs w:val="32"/>
          <w:highlight w:val="none"/>
        </w:rPr>
        <w:t>得分</w:t>
      </w:r>
      <w:r>
        <w:rPr>
          <w:rFonts w:hint="eastAsia" w:ascii="楷体_GB2312" w:eastAsia="楷体_GB2312"/>
          <w:sz w:val="32"/>
          <w:szCs w:val="32"/>
          <w:highlight w:val="none"/>
        </w:rPr>
        <w:t>情况</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我镇各项目综合得分95分。总体情况较好。</w:t>
      </w:r>
    </w:p>
    <w:p>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楷体_GB2312" w:eastAsia="楷体_GB2312"/>
          <w:sz w:val="32"/>
          <w:szCs w:val="32"/>
          <w:highlight w:val="none"/>
        </w:rPr>
      </w:pPr>
      <w:r>
        <w:rPr>
          <w:rFonts w:hint="eastAsia" w:ascii="楷体_GB2312" w:eastAsia="楷体_GB2312"/>
          <w:sz w:val="32"/>
          <w:szCs w:val="32"/>
          <w:highlight w:val="none"/>
        </w:rPr>
        <w:t>（二）存在的问题及原因分析</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我单位在预算绩效管理工作中，依据相关要求认真开展工作，但仍存在一些问题，具体如下：</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一是财政部门内部对绩效工作重视程度有待进一步提高，个别科室对公共资金绩效管理推进工作认识不足，缺乏主动性，主体意识不强。</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二是预算部门内部预算绩效工作安排有待完善，业务管理与绩效管理缺乏有效沟通沟通，需要夯实实施预算绩效管理的最基本的环节。</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黑体" w:hAnsi="黑体" w:eastAsia="黑体" w:cs="宋体"/>
          <w:color w:val="000000"/>
          <w:kern w:val="0"/>
          <w:sz w:val="32"/>
          <w:szCs w:val="32"/>
          <w:highlight w:val="none"/>
        </w:rPr>
        <w:t>六、措施建议</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针对存在的问题，我单位相关业务科室明确职责、抓实主体，按照“谁支出、谁负责”“谁审批、谁负责”的原则，明确资金使用单位是本单位绩效管理的“第一责任人”，各主管部门加强本部门绩效目标和绩效自评结果的审核，财政部门负责组织和指导绩效管理，并对重点项目开展财政绩效监控和财政绩效评价，通过明确各相关机构和人员在预算绩效管理工作中的职责，实现层层监督。</w:t>
      </w:r>
    </w:p>
    <w:p>
      <w:pPr>
        <w:spacing w:line="480" w:lineRule="exact"/>
        <w:ind w:firstLine="560" w:firstLineChars="200"/>
        <w:rPr>
          <w:rFonts w:hint="eastAsia" w:ascii="仿宋_GB2312" w:hAnsi="宋体" w:eastAsia="仿宋_GB2312" w:cs="宋体"/>
          <w:color w:val="000000"/>
          <w:kern w:val="0"/>
          <w:sz w:val="28"/>
          <w:szCs w:val="28"/>
        </w:rPr>
      </w:pPr>
    </w:p>
    <w:p>
      <w:pPr>
        <w:spacing w:line="480" w:lineRule="exact"/>
        <w:ind w:firstLine="560" w:firstLineChars="200"/>
        <w:rPr>
          <w:rFonts w:hint="eastAsia" w:ascii="仿宋_GB2312" w:hAnsi="宋体" w:eastAsia="仿宋_GB2312" w:cs="宋体"/>
          <w:color w:val="000000"/>
          <w:kern w:val="0"/>
          <w:sz w:val="28"/>
          <w:szCs w:val="28"/>
        </w:rPr>
      </w:pPr>
    </w:p>
    <w:p>
      <w:pPr>
        <w:spacing w:line="480" w:lineRule="exact"/>
        <w:ind w:firstLine="560" w:firstLineChars="200"/>
        <w:rPr>
          <w:rFonts w:hint="eastAsia" w:ascii="仿宋_GB2312" w:hAnsi="宋体" w:eastAsia="仿宋_GB2312" w:cs="宋体"/>
          <w:color w:val="000000"/>
          <w:kern w:val="0"/>
          <w:sz w:val="28"/>
          <w:szCs w:val="28"/>
        </w:rPr>
      </w:pPr>
    </w:p>
    <w:p>
      <w:pPr>
        <w:spacing w:line="480" w:lineRule="exact"/>
        <w:ind w:firstLine="560" w:firstLineChars="200"/>
        <w:rPr>
          <w:rFonts w:hint="eastAsia" w:ascii="仿宋_GB2312" w:hAnsi="宋体" w:eastAsia="仿宋_GB2312" w:cs="宋体"/>
          <w:color w:val="000000"/>
          <w:kern w:val="0"/>
          <w:sz w:val="28"/>
          <w:szCs w:val="28"/>
        </w:rPr>
      </w:pPr>
    </w:p>
    <w:p>
      <w:pPr>
        <w:spacing w:line="480" w:lineRule="exact"/>
        <w:ind w:firstLine="560" w:firstLineChars="200"/>
        <w:rPr>
          <w:rFonts w:hint="eastAsia" w:ascii="仿宋_GB2312" w:hAnsi="宋体" w:eastAsia="仿宋_GB2312" w:cs="宋体"/>
          <w:color w:val="000000"/>
          <w:kern w:val="0"/>
          <w:sz w:val="28"/>
          <w:szCs w:val="28"/>
        </w:rPr>
      </w:pPr>
    </w:p>
    <w:p>
      <w:pPr>
        <w:spacing w:line="480" w:lineRule="exact"/>
        <w:ind w:firstLine="560" w:firstLineChars="200"/>
        <w:rPr>
          <w:rFonts w:hint="eastAsia" w:ascii="仿宋_GB2312" w:hAnsi="宋体" w:eastAsia="仿宋_GB2312" w:cs="宋体"/>
          <w:color w:val="000000"/>
          <w:kern w:val="0"/>
          <w:sz w:val="28"/>
          <w:szCs w:val="28"/>
        </w:rPr>
      </w:pPr>
    </w:p>
    <w:p>
      <w:pPr>
        <w:spacing w:line="480" w:lineRule="exact"/>
        <w:ind w:firstLine="640" w:firstLineChars="200"/>
        <w:rPr>
          <w:rFonts w:hint="eastAsia" w:ascii="仿宋_GB2312" w:hAnsi="宋体" w:eastAsia="仿宋_GB2312" w:cs="宋体"/>
          <w:color w:val="000000"/>
          <w:kern w:val="0"/>
          <w:sz w:val="32"/>
          <w:szCs w:val="32"/>
        </w:rPr>
      </w:pPr>
    </w:p>
    <w:p>
      <w:pPr>
        <w:spacing w:line="480" w:lineRule="exact"/>
        <w:ind w:firstLine="640" w:firstLineChars="200"/>
        <w:rPr>
          <w:rFonts w:hint="eastAsia" w:ascii="仿宋_GB2312" w:hAnsi="宋体" w:eastAsia="仿宋_GB2312" w:cs="宋体"/>
          <w:color w:val="000000"/>
          <w:kern w:val="0"/>
          <w:sz w:val="32"/>
          <w:szCs w:val="32"/>
        </w:rPr>
      </w:pPr>
    </w:p>
    <w:p>
      <w:pPr>
        <w:spacing w:line="480" w:lineRule="exact"/>
        <w:ind w:firstLine="640" w:firstLineChars="200"/>
        <w:rPr>
          <w:rFonts w:hint="eastAsia" w:ascii="仿宋_GB2312" w:hAnsi="宋体" w:eastAsia="仿宋_GB2312" w:cs="宋体"/>
          <w:color w:val="000000"/>
          <w:kern w:val="0"/>
          <w:sz w:val="32"/>
          <w:szCs w:val="32"/>
        </w:rPr>
      </w:pPr>
    </w:p>
    <w:p>
      <w:pPr>
        <w:rPr>
          <w:rFonts w:hint="eastAsia"/>
          <w:b/>
          <w:bCs/>
          <w:highlight w:val="none"/>
          <w:lang w:val="en-US" w:eastAsia="zh-CN"/>
        </w:rPr>
      </w:pPr>
    </w:p>
    <w:p>
      <w:pPr>
        <w:jc w:val="center"/>
        <w:rPr>
          <w:rFonts w:hint="eastAsia" w:ascii="楷体_GB2312" w:hAnsi="楷体_GB2312" w:eastAsia="楷体_GB2312" w:cs="楷体_GB2312"/>
          <w:b/>
          <w:bCs/>
          <w:sz w:val="44"/>
          <w:szCs w:val="44"/>
          <w:highlight w:val="none"/>
        </w:rPr>
      </w:pPr>
      <w:r>
        <w:rPr>
          <w:rFonts w:hint="eastAsia" w:ascii="楷体_GB2312" w:hAnsi="楷体_GB2312" w:eastAsia="楷体_GB2312" w:cs="楷体_GB2312"/>
          <w:b/>
          <w:bCs/>
          <w:sz w:val="44"/>
          <w:szCs w:val="44"/>
        </w:rPr>
        <w:br w:type="page"/>
      </w:r>
      <w:r>
        <w:rPr>
          <w:rFonts w:hint="eastAsia" w:ascii="楷体_GB2312" w:hAnsi="楷体_GB2312" w:eastAsia="楷体_GB2312" w:cs="楷体_GB2312"/>
          <w:b/>
          <w:bCs/>
          <w:sz w:val="44"/>
          <w:szCs w:val="44"/>
          <w:highlight w:val="none"/>
        </w:rPr>
        <w:t>项目支出绩效评价报告</w:t>
      </w:r>
    </w:p>
    <w:p>
      <w:pPr>
        <w:jc w:val="center"/>
        <w:rPr>
          <w:rFonts w:ascii="仿宋_GB2312"/>
          <w:szCs w:val="30"/>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黑体" w:hAnsi="黑体" w:eastAsia="黑体" w:cs="黑体"/>
          <w:b w:val="0"/>
          <w:bCs/>
          <w:color w:val="000000"/>
          <w:kern w:val="0"/>
          <w:sz w:val="32"/>
          <w:szCs w:val="32"/>
          <w:highlight w:val="none"/>
        </w:rPr>
      </w:pPr>
      <w:r>
        <w:rPr>
          <w:rFonts w:hint="eastAsia" w:ascii="黑体" w:hAnsi="黑体" w:eastAsia="黑体" w:cs="黑体"/>
          <w:b w:val="0"/>
          <w:bCs/>
          <w:color w:val="000000"/>
          <w:kern w:val="0"/>
          <w:sz w:val="32"/>
          <w:szCs w:val="32"/>
          <w:highlight w:val="none"/>
        </w:rPr>
        <w:t>一、基本情况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宋体"/>
          <w:color w:val="000000"/>
          <w:kern w:val="0"/>
          <w:sz w:val="32"/>
          <w:szCs w:val="32"/>
          <w:highlight w:val="none"/>
        </w:rPr>
      </w:pPr>
      <w:r>
        <w:rPr>
          <w:rFonts w:hint="eastAsia" w:ascii="仿宋_GB2312" w:hAnsi="仿宋_GB2312" w:eastAsia="仿宋_GB2312" w:cs="仿宋_GB2312"/>
          <w:color w:val="000000"/>
          <w:kern w:val="0"/>
          <w:sz w:val="32"/>
          <w:szCs w:val="32"/>
          <w:highlight w:val="none"/>
        </w:rPr>
        <w:t>（一）项目概况。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rPr>
      </w:pPr>
      <w:r>
        <w:rPr>
          <w:rFonts w:hint="eastAsia" w:ascii="仿宋_GB2312" w:hAnsi="宋体" w:eastAsia="仿宋_GB2312" w:cs="宋体"/>
          <w:color w:val="000000"/>
          <w:kern w:val="0"/>
          <w:sz w:val="32"/>
          <w:szCs w:val="32"/>
          <w:highlight w:val="none"/>
          <w:lang w:val="en-US" w:eastAsia="zh-CN"/>
        </w:rPr>
        <w:t>2025年我镇村级公益事业专项资金项目涉及34个行政村，预算总投资963.79万元，财政批复资金963.79万元。</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（二）项目绩效目标。</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 xml:space="preserve">    项目绩效目标主要内容为依托项目村现有的基础条件，尊重农民意愿，充分调动农民的积极性，结合村庄环境整治建设，整合各类资源，以改善农村基础设施条件为目的，突出乡村特色，积极开展以农村公益基础设施建设为主要建设内容，通过道路建设、桥梁建设和亮化工程的实施，使项目村交通条件、环境条件得以改善，便利群众出行，提高群众的生产生活水平，促进农民收入的增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黑体" w:hAnsi="黑体" w:eastAsia="黑体" w:cs="黑体"/>
          <w:b w:val="0"/>
          <w:bCs/>
          <w:color w:val="000000"/>
          <w:kern w:val="0"/>
          <w:sz w:val="32"/>
          <w:szCs w:val="32"/>
          <w:highlight w:val="none"/>
        </w:rPr>
      </w:pPr>
      <w:r>
        <w:rPr>
          <w:rFonts w:hint="eastAsia" w:ascii="黑体" w:hAnsi="黑体" w:eastAsia="黑体" w:cs="黑体"/>
          <w:b w:val="0"/>
          <w:bCs/>
          <w:color w:val="000000"/>
          <w:kern w:val="0"/>
          <w:sz w:val="32"/>
          <w:szCs w:val="32"/>
          <w:highlight w:val="none"/>
        </w:rPr>
        <w:t>二、绩效评价工作开展情况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为了确保项目顺利实施，严格按照市、区相关文件要求，进行管理，项目制度建设较为健全，执行较为规范</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黑体" w:hAnsi="黑体" w:eastAsia="黑体" w:cs="黑体"/>
          <w:b w:val="0"/>
          <w:bCs/>
          <w:color w:val="000000"/>
          <w:kern w:val="0"/>
          <w:sz w:val="32"/>
          <w:szCs w:val="32"/>
          <w:highlight w:val="none"/>
        </w:rPr>
      </w:pPr>
      <w:r>
        <w:rPr>
          <w:rFonts w:hint="eastAsia" w:ascii="黑体" w:hAnsi="黑体" w:eastAsia="黑体" w:cs="黑体"/>
          <w:b w:val="0"/>
          <w:bCs/>
          <w:color w:val="000000"/>
          <w:kern w:val="0"/>
          <w:sz w:val="32"/>
          <w:szCs w:val="32"/>
          <w:highlight w:val="none"/>
        </w:rPr>
        <w:t>三、综合评价情况及评价结论（附相关评分表）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color w:val="000000"/>
          <w:kern w:val="0"/>
          <w:sz w:val="32"/>
          <w:szCs w:val="32"/>
          <w:highlight w:val="none"/>
          <w:lang w:eastAsia="zh-CN"/>
        </w:rPr>
      </w:pPr>
      <w:r>
        <w:rPr>
          <w:rFonts w:hint="eastAsia" w:ascii="仿宋_GB2312" w:hAnsi="仿宋_GB2312" w:eastAsia="仿宋_GB2312" w:cs="仿宋_GB2312"/>
          <w:b w:val="0"/>
          <w:bCs/>
          <w:color w:val="000000"/>
          <w:kern w:val="0"/>
          <w:sz w:val="32"/>
          <w:szCs w:val="32"/>
          <w:highlight w:val="none"/>
          <w:lang w:eastAsia="zh-CN"/>
        </w:rPr>
        <w:t>（1）项目管理决策情况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color w:val="000000"/>
          <w:kern w:val="0"/>
          <w:sz w:val="32"/>
          <w:szCs w:val="32"/>
          <w:highlight w:val="none"/>
          <w:lang w:eastAsia="zh-CN"/>
        </w:rPr>
      </w:pPr>
      <w:r>
        <w:rPr>
          <w:rFonts w:hint="eastAsia" w:ascii="仿宋_GB2312" w:hAnsi="仿宋_GB2312" w:eastAsia="仿宋_GB2312" w:cs="仿宋_GB2312"/>
          <w:b w:val="0"/>
          <w:bCs/>
          <w:color w:val="000000"/>
          <w:kern w:val="0"/>
          <w:sz w:val="32"/>
          <w:szCs w:val="32"/>
          <w:highlight w:val="none"/>
          <w:lang w:eastAsia="zh-CN"/>
        </w:rPr>
        <w:t>为了确保项目顺利实施，严格按照市、区相关文件要求，进行管理，项目制度建设较为健全，执行较为规范。在项目实施过程中，各行政村按照相关文件要求，成立了领导小组，专门负责并建立资金管理制度，对资金的到位及执行情况进行严格审核，资金支出时严格按照拨付流程，经领导审核通过后，按照项目施工进度进行拨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color w:val="000000"/>
          <w:kern w:val="0"/>
          <w:sz w:val="32"/>
          <w:szCs w:val="32"/>
          <w:highlight w:val="none"/>
          <w:lang w:eastAsia="zh-CN"/>
        </w:rPr>
      </w:pPr>
      <w:r>
        <w:rPr>
          <w:rFonts w:hint="eastAsia" w:ascii="仿宋_GB2312" w:hAnsi="仿宋_GB2312" w:eastAsia="仿宋_GB2312" w:cs="仿宋_GB2312"/>
          <w:b w:val="0"/>
          <w:bCs/>
          <w:color w:val="000000"/>
          <w:kern w:val="0"/>
          <w:sz w:val="32"/>
          <w:szCs w:val="32"/>
          <w:highlight w:val="none"/>
          <w:lang w:eastAsia="zh-CN"/>
        </w:rPr>
        <w:t>（2）项目过程控制情况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color w:val="000000"/>
          <w:kern w:val="0"/>
          <w:sz w:val="32"/>
          <w:szCs w:val="32"/>
          <w:highlight w:val="none"/>
          <w:lang w:eastAsia="zh-CN"/>
        </w:rPr>
      </w:pPr>
      <w:r>
        <w:rPr>
          <w:rFonts w:hint="eastAsia" w:ascii="仿宋_GB2312" w:hAnsi="仿宋_GB2312" w:eastAsia="仿宋_GB2312" w:cs="仿宋_GB2312"/>
          <w:b w:val="0"/>
          <w:bCs/>
          <w:color w:val="000000"/>
          <w:kern w:val="0"/>
          <w:sz w:val="32"/>
          <w:szCs w:val="32"/>
          <w:highlight w:val="none"/>
          <w:lang w:eastAsia="zh-CN"/>
        </w:rPr>
        <w:t>“村级公益事业金”项目评价得分93分</w:t>
      </w:r>
      <w:r>
        <w:rPr>
          <w:rFonts w:hint="eastAsia" w:ascii="仿宋_GB2312" w:hAnsi="仿宋_GB2312" w:eastAsia="仿宋_GB2312" w:cs="仿宋_GB2312"/>
          <w:b w:val="0"/>
          <w:bCs/>
          <w:color w:val="000000"/>
          <w:kern w:val="0"/>
          <w:sz w:val="32"/>
          <w:szCs w:val="32"/>
          <w:highlight w:val="none"/>
          <w:lang w:val="en-US" w:eastAsia="zh-CN"/>
        </w:rPr>
        <w:t>，评价结论为优。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黑体" w:hAnsi="黑体" w:eastAsia="黑体" w:cs="黑体"/>
          <w:b w:val="0"/>
          <w:bCs/>
          <w:color w:val="000000"/>
          <w:kern w:val="0"/>
          <w:sz w:val="32"/>
          <w:szCs w:val="32"/>
          <w:highlight w:val="none"/>
        </w:rPr>
      </w:pPr>
      <w:r>
        <w:rPr>
          <w:rFonts w:hint="eastAsia" w:ascii="黑体" w:hAnsi="黑体" w:eastAsia="黑体" w:cs="黑体"/>
          <w:b w:val="0"/>
          <w:bCs/>
          <w:color w:val="000000"/>
          <w:kern w:val="0"/>
          <w:sz w:val="32"/>
          <w:szCs w:val="32"/>
          <w:highlight w:val="none"/>
        </w:rPr>
        <w:t>四、绩效评价指标分析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（一）项目决策情况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0"/>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lang w:eastAsia="zh-CN"/>
        </w:rPr>
        <w:t>为了确保项目顺利实施，严格按照市、区相关文件要求，进行管理，项目制度建设较为健全，执行较为规范。</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（二）项目过程情况。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lang w:eastAsia="zh-CN"/>
        </w:rPr>
        <w:t>在项目实施过程中，各行政村按照相关文件要求，成立了领导小组，专门负责并建立资金管理制度，对资金的到位及执行情况进行严格审核，资金支出时严格按照拨付流程，经领导审核通过后，按照项目施工进度进行拨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（三）项目产出情况。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0"/>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lang w:eastAsia="zh-CN"/>
        </w:rPr>
        <w:t>项目预期在实施过程中，数量指标完成较好，质量控制较为规范有效，质量产出良好，总体进度把控较好，项目实际支出为963.79万元，未超过预算金额，项目成本指标控制较好，通过对施工现场的实施管控，施工时间均在法定施工时间范围之内，并且未接到居民关于施工的举报，项目总体进度把控较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（四）项目效益情况。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color w:val="000000"/>
          <w:kern w:val="0"/>
          <w:sz w:val="32"/>
          <w:szCs w:val="32"/>
          <w:highlight w:val="none"/>
          <w:lang w:eastAsia="zh-CN"/>
        </w:rPr>
      </w:pPr>
      <w:r>
        <w:rPr>
          <w:rFonts w:hint="eastAsia" w:ascii="仿宋_GB2312" w:hAnsi="仿宋_GB2312" w:eastAsia="仿宋_GB2312" w:cs="仿宋_GB2312"/>
          <w:b w:val="0"/>
          <w:bCs/>
          <w:color w:val="000000"/>
          <w:kern w:val="0"/>
          <w:sz w:val="32"/>
          <w:szCs w:val="32"/>
          <w:highlight w:val="none"/>
          <w:lang w:eastAsia="zh-CN"/>
        </w:rPr>
        <w:t>我镇通过实施道路硬化、亮化、农村地区环境治理等措施，有力促进了社会主义新农村建设，较好实现了项目的预期目标，使得村庄村容村貌变得干净整洁，促进乡村振兴。以群众看得见、摸得着的方式改善了村容村貌，使农村展现了新面貌，焕发了新的生机活力。提高了群众参与风貌提升的主动性和积极性，促进了农村事业的发展，增进了群众的民生福祉，提高了群众的幸福感和获得感。</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rPr>
      </w:pPr>
      <w:r>
        <w:rPr>
          <w:rFonts w:hint="eastAsia" w:ascii="仿宋_GB2312" w:hAnsi="仿宋_GB2312" w:eastAsia="仿宋_GB2312" w:cs="仿宋_GB2312"/>
          <w:b w:val="0"/>
          <w:bCs/>
          <w:color w:val="000000"/>
          <w:kern w:val="0"/>
          <w:sz w:val="32"/>
          <w:szCs w:val="32"/>
          <w:highlight w:val="none"/>
          <w:lang w:eastAsia="zh-CN"/>
        </w:rPr>
        <w:t>在项目实施过程中及完成后，对服务对象进行了满意度调查。首先在服务对象的定位上，主要定位为各行政村长期居住的村民。经调查，服务对象的满意度较高。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黑体" w:hAnsi="黑体" w:eastAsia="黑体" w:cs="黑体"/>
          <w:b w:val="0"/>
          <w:bCs/>
          <w:color w:val="000000"/>
          <w:kern w:val="0"/>
          <w:sz w:val="32"/>
          <w:szCs w:val="32"/>
          <w:highlight w:val="none"/>
        </w:rPr>
      </w:pPr>
      <w:r>
        <w:rPr>
          <w:rFonts w:hint="eastAsia" w:ascii="黑体" w:hAnsi="黑体" w:eastAsia="黑体" w:cs="黑体"/>
          <w:b w:val="0"/>
          <w:bCs/>
          <w:color w:val="000000"/>
          <w:kern w:val="0"/>
          <w:sz w:val="32"/>
          <w:szCs w:val="32"/>
          <w:highlight w:val="none"/>
        </w:rPr>
        <w:t>五、主要经验及做法、存在的问题及原因分析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color w:val="000000"/>
          <w:kern w:val="0"/>
          <w:sz w:val="32"/>
          <w:szCs w:val="32"/>
          <w:highlight w:val="none"/>
          <w:lang w:eastAsia="zh-CN"/>
        </w:rPr>
      </w:pPr>
      <w:r>
        <w:rPr>
          <w:rFonts w:hint="eastAsia" w:ascii="仿宋_GB2312" w:hAnsi="仿宋_GB2312" w:eastAsia="仿宋_GB2312" w:cs="仿宋_GB2312"/>
          <w:b w:val="0"/>
          <w:bCs/>
          <w:color w:val="000000"/>
          <w:kern w:val="0"/>
          <w:sz w:val="32"/>
          <w:szCs w:val="32"/>
          <w:highlight w:val="none"/>
          <w:lang w:eastAsia="zh-CN"/>
        </w:rPr>
        <w:t>1、区、镇、村高度重视。为保证村级公益事业专项资金这个项目的顺利开展，真正惠及村民，镇、村两级齐心协力，克服重重困难，保质保量完成了这项民心工程。</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color w:val="000000"/>
          <w:kern w:val="0"/>
          <w:sz w:val="32"/>
          <w:szCs w:val="32"/>
          <w:highlight w:val="none"/>
          <w:lang w:eastAsia="zh-CN"/>
        </w:rPr>
      </w:pPr>
      <w:r>
        <w:rPr>
          <w:rFonts w:hint="eastAsia" w:ascii="仿宋_GB2312" w:hAnsi="仿宋_GB2312" w:eastAsia="仿宋_GB2312" w:cs="仿宋_GB2312"/>
          <w:b w:val="0"/>
          <w:bCs/>
          <w:color w:val="000000"/>
          <w:kern w:val="0"/>
          <w:sz w:val="32"/>
          <w:szCs w:val="32"/>
          <w:highlight w:val="none"/>
          <w:lang w:eastAsia="zh-CN"/>
        </w:rPr>
        <w:t>2、提高队伍素质。进一步加强项目绩效管理监督。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color w:val="000000"/>
          <w:kern w:val="0"/>
          <w:sz w:val="32"/>
          <w:szCs w:val="32"/>
          <w:highlight w:val="none"/>
          <w:lang w:eastAsia="zh-CN"/>
        </w:rPr>
      </w:pPr>
      <w:r>
        <w:rPr>
          <w:rFonts w:hint="eastAsia" w:ascii="仿宋_GB2312" w:hAnsi="仿宋_GB2312" w:eastAsia="仿宋_GB2312" w:cs="仿宋_GB2312"/>
          <w:b w:val="0"/>
          <w:bCs/>
          <w:color w:val="000000"/>
          <w:kern w:val="0"/>
          <w:sz w:val="32"/>
          <w:szCs w:val="32"/>
          <w:highlight w:val="none"/>
          <w:lang w:eastAsia="zh-CN"/>
        </w:rPr>
        <w:t>3、人民群众积极参与，大力支持。村级公益事业项目直接影响到老百姓的生活质量，因此村民群众积极协助，齐心协力把项目建设好，让乡村的各项公益事业更加完善。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黑体" w:hAnsi="黑体" w:eastAsia="黑体" w:cs="黑体"/>
          <w:b w:val="0"/>
          <w:bCs/>
          <w:color w:val="000000"/>
          <w:kern w:val="0"/>
          <w:sz w:val="32"/>
          <w:szCs w:val="32"/>
          <w:highlight w:val="none"/>
        </w:rPr>
      </w:pPr>
      <w:r>
        <w:rPr>
          <w:rFonts w:hint="eastAsia" w:ascii="黑体" w:hAnsi="黑体" w:eastAsia="黑体" w:cs="黑体"/>
          <w:b w:val="0"/>
          <w:bCs/>
          <w:color w:val="000000"/>
          <w:kern w:val="0"/>
          <w:sz w:val="32"/>
          <w:szCs w:val="32"/>
          <w:highlight w:val="none"/>
        </w:rPr>
        <w:t>六、有关建议</w:t>
      </w:r>
    </w:p>
    <w:p>
      <w:pPr>
        <w:pStyle w:val="2"/>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 xml:space="preserve">    完善管理机制，强化项目管理。本着以人为本的原则，将项目管理落实到村到户，确保政府投入直接到农户，逐步完善系统的、高效的管理机制。严格按照有关管理程序实施，依照规划立项，按项目管理建制，据规程操作、考核和验收，建立资金使用审计和跟踪监督机制，强化资金管理，提高使用效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黑体" w:hAnsi="黑体" w:eastAsia="黑体" w:cs="黑体"/>
          <w:b w:val="0"/>
          <w:bCs/>
          <w:color w:val="000000"/>
          <w:kern w:val="0"/>
          <w:sz w:val="32"/>
          <w:szCs w:val="32"/>
          <w:highlight w:val="none"/>
        </w:rPr>
      </w:pPr>
      <w:r>
        <w:rPr>
          <w:rFonts w:hint="eastAsia" w:ascii="黑体" w:hAnsi="黑体" w:eastAsia="黑体" w:cs="黑体"/>
          <w:b w:val="0"/>
          <w:bCs/>
          <w:color w:val="000000"/>
          <w:kern w:val="0"/>
          <w:sz w:val="32"/>
          <w:szCs w:val="32"/>
          <w:highlight w:val="none"/>
        </w:rPr>
        <w:t>七、其他需要说明的问题</w:t>
      </w:r>
    </w:p>
    <w:p>
      <w:pPr>
        <w:pStyle w:val="2"/>
        <w:keepNext/>
        <w:keepLines/>
        <w:pageBreakBefore w:val="0"/>
        <w:widowControl w:val="0"/>
        <w:kinsoku/>
        <w:wordWrap/>
        <w:overflowPunct/>
        <w:topLinePunct w:val="0"/>
        <w:autoSpaceDE/>
        <w:autoSpaceDN/>
        <w:bidi w:val="0"/>
        <w:adjustRightInd/>
        <w:snapToGrid/>
        <w:spacing w:before="100" w:beforeAutospacing="1" w:after="100" w:afterAutospacing="1" w:line="240" w:lineRule="auto"/>
        <w:ind w:left="0" w:leftChars="0" w:right="0" w:rightChars="0" w:firstLine="640" w:firstLineChars="200"/>
        <w:jc w:val="both"/>
        <w:textAlignment w:val="auto"/>
        <w:outlineLvl w:val="1"/>
        <w:rPr>
          <w:rFonts w:hint="eastAsia" w:ascii="仿宋_GB2312" w:hAnsi="仿宋_GB2312" w:eastAsia="仿宋_GB2312" w:cs="仿宋_GB2312"/>
          <w:b w:val="0"/>
          <w:bCs/>
          <w:color w:val="000000"/>
          <w:kern w:val="0"/>
          <w:sz w:val="32"/>
          <w:szCs w:val="32"/>
          <w:highlight w:val="none"/>
          <w:lang w:val="en-US" w:eastAsia="zh-CN" w:bidi="ar-SA"/>
        </w:rPr>
      </w:pPr>
      <w:r>
        <w:rPr>
          <w:rFonts w:hint="eastAsia" w:ascii="仿宋_GB2312" w:hAnsi="仿宋_GB2312" w:eastAsia="仿宋_GB2312" w:cs="仿宋_GB2312"/>
          <w:b w:val="0"/>
          <w:bCs/>
          <w:color w:val="000000"/>
          <w:kern w:val="0"/>
          <w:sz w:val="32"/>
          <w:szCs w:val="32"/>
          <w:highlight w:val="none"/>
          <w:lang w:val="en-US" w:eastAsia="zh-CN" w:bidi="ar-SA"/>
        </w:rPr>
        <w:t>无。</w:t>
      </w:r>
    </w:p>
    <w:p>
      <w:pPr>
        <w:spacing w:line="520" w:lineRule="exact"/>
        <w:ind w:firstLine="640" w:firstLineChars="200"/>
        <w:rPr>
          <w:rFonts w:hint="eastAsia" w:ascii="黑体" w:hAnsi="黑体" w:eastAsia="黑体" w:cs="黑体"/>
          <w:bCs/>
          <w:color w:val="000000"/>
          <w:kern w:val="0"/>
          <w:sz w:val="32"/>
          <w:szCs w:val="32"/>
        </w:rPr>
      </w:pPr>
    </w:p>
    <w:tbl>
      <w:tblPr>
        <w:tblStyle w:val="14"/>
        <w:tblW w:w="144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3"/>
        <w:gridCol w:w="1079"/>
        <w:gridCol w:w="3070"/>
        <w:gridCol w:w="1527"/>
        <w:gridCol w:w="1214"/>
        <w:gridCol w:w="1609"/>
        <w:gridCol w:w="1554"/>
        <w:gridCol w:w="1487"/>
        <w:gridCol w:w="2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14493"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4493"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12561"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村级公益事业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070"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43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514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307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52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21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60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155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48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21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52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2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60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55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48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52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963.79</w:t>
            </w:r>
          </w:p>
        </w:tc>
        <w:tc>
          <w:tcPr>
            <w:tcW w:w="121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963.79</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rPr>
              <w:t>963.79</w:t>
            </w:r>
          </w:p>
        </w:tc>
        <w:tc>
          <w:tcPr>
            <w:tcW w:w="15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14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152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963.79</w:t>
            </w:r>
          </w:p>
        </w:tc>
        <w:tc>
          <w:tcPr>
            <w:tcW w:w="121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963.79</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963.79</w:t>
            </w:r>
          </w:p>
        </w:tc>
        <w:tc>
          <w:tcPr>
            <w:tcW w:w="15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152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21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5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152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21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5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149"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9491"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4149"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按照《密云县村级公益事业专项补助资金管理使用办法》的通知规定，主要用于污水电费，安装护栏、人居环境卫生、防汛物资等公益事业</w:t>
            </w:r>
            <w:r>
              <w:rPr>
                <w:rFonts w:hint="eastAsia" w:ascii="宋体" w:hAnsi="宋体" w:cs="宋体"/>
                <w:i w:val="0"/>
                <w:iCs w:val="0"/>
                <w:color w:val="000000"/>
                <w:sz w:val="18"/>
                <w:szCs w:val="18"/>
                <w:u w:val="none"/>
                <w:lang w:eastAsia="zh-CN"/>
              </w:rPr>
              <w:t>。</w:t>
            </w:r>
          </w:p>
        </w:tc>
        <w:tc>
          <w:tcPr>
            <w:tcW w:w="9491" w:type="dxa"/>
            <w:gridSpan w:val="6"/>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为村级公益事业提供资金保障，促进公益事业发展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2741"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6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5141"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741"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741"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30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6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500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2741"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16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93</w:t>
            </w:r>
          </w:p>
        </w:tc>
        <w:tc>
          <w:tcPr>
            <w:tcW w:w="5141"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bl>
    <w:p>
      <w:pPr>
        <w:spacing w:line="520" w:lineRule="exact"/>
        <w:ind w:firstLine="640" w:firstLineChars="200"/>
        <w:rPr>
          <w:rFonts w:hint="eastAsia" w:ascii="黑体" w:hAnsi="黑体" w:eastAsia="黑体" w:cs="黑体"/>
          <w:bCs/>
          <w:color w:val="000000"/>
          <w:kern w:val="0"/>
          <w:sz w:val="32"/>
          <w:szCs w:val="32"/>
        </w:rPr>
      </w:pPr>
    </w:p>
    <w:p>
      <w:pPr>
        <w:spacing w:line="480" w:lineRule="exact"/>
        <w:rPr>
          <w:color w:val="auto"/>
        </w:rPr>
      </w:pPr>
    </w:p>
    <w:tbl>
      <w:tblPr>
        <w:tblStyle w:val="14"/>
        <w:tblW w:w="89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3"/>
        <w:gridCol w:w="1079"/>
        <w:gridCol w:w="1836"/>
        <w:gridCol w:w="817"/>
        <w:gridCol w:w="1083"/>
        <w:gridCol w:w="1083"/>
        <w:gridCol w:w="700"/>
        <w:gridCol w:w="884"/>
        <w:gridCol w:w="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“五河十路生态林”市级林木养护资金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83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98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83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8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08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17.48</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17.48</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rPr>
              <w:t>17.48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17.48</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17.48</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17.48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Fonts w:hint="eastAsia" w:ascii="宋体" w:hAnsi="宋体"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上年结转资金</w:t>
            </w:r>
          </w:p>
        </w:tc>
        <w:tc>
          <w:tcPr>
            <w:tcW w:w="8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91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20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91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守护前期造林成果，确保树木健康生长，提升平原森林覆盖率。同时，通过专业养护，增强森林生态功能，改善乡镇生态环境，推动绿色可持续发展。</w:t>
            </w:r>
          </w:p>
        </w:tc>
        <w:tc>
          <w:tcPr>
            <w:tcW w:w="520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900"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08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00"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00"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8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76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900"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108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92</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bl>
    <w:p/>
    <w:p>
      <w:pPr>
        <w:pStyle w:val="2"/>
      </w:pPr>
    </w:p>
    <w:tbl>
      <w:tblPr>
        <w:tblStyle w:val="14"/>
        <w:tblW w:w="89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3"/>
        <w:gridCol w:w="1079"/>
        <w:gridCol w:w="2086"/>
        <w:gridCol w:w="767"/>
        <w:gridCol w:w="1000"/>
        <w:gridCol w:w="966"/>
        <w:gridCol w:w="700"/>
        <w:gridCol w:w="884"/>
        <w:gridCol w:w="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2022年地质灾害治理项目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农业农村办公室</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83.550794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83.550794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83.550794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83.550794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83.550794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83.550794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全方位筑牢安全防线，同时加固山体、完善排水，消除隐患点威胁，保障居民生命财产安全，助力乡村安全发展，维护社会稳定。</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bl>
    <w:p/>
    <w:tbl>
      <w:tblPr>
        <w:tblStyle w:val="14"/>
        <w:tblW w:w="89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3"/>
        <w:gridCol w:w="1079"/>
        <w:gridCol w:w="2086"/>
        <w:gridCol w:w="767"/>
        <w:gridCol w:w="1000"/>
        <w:gridCol w:w="966"/>
        <w:gridCol w:w="700"/>
        <w:gridCol w:w="884"/>
        <w:gridCol w:w="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2022年密云区重大投资项目规划谋划项目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经济发展办公室</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4.95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4.95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4.95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紧扣镇域发展大局，目标清晰、举措务实，预期效益显著。</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bl>
    <w:p>
      <w:pPr>
        <w:pStyle w:val="2"/>
      </w:pPr>
    </w:p>
    <w:p/>
    <w:p>
      <w:pPr>
        <w:pStyle w:val="2"/>
      </w:pPr>
    </w:p>
    <w:tbl>
      <w:tblPr>
        <w:tblStyle w:val="14"/>
        <w:tblW w:w="89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3"/>
        <w:gridCol w:w="1079"/>
        <w:gridCol w:w="2086"/>
        <w:gridCol w:w="767"/>
        <w:gridCol w:w="66"/>
        <w:gridCol w:w="84"/>
        <w:gridCol w:w="850"/>
        <w:gridCol w:w="966"/>
        <w:gridCol w:w="700"/>
        <w:gridCol w:w="884"/>
        <w:gridCol w:w="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2022年疏解整治促提升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222.752485</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222.752485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222.752485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222.752485</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222.752485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222.752485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推动西田各庄镇镇域发展，提升人居环境与生活品质，提升社会治理能力，培育文明乡村</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2023年7月至2024年6月农村污水处理设施市级运维补贴资金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农业农村办公室</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38.01</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38.01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38.01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38.01</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38.01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38.01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2023年基层党组织党建活动经费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党群工作办公室（人大工作办公室）</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18.876</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18.876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18.876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18.876</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18.876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18.876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开展</w:t>
            </w:r>
            <w:r>
              <w:rPr>
                <w:rFonts w:hint="eastAsia" w:ascii="宋体" w:hAnsi="宋体" w:cs="宋体"/>
                <w:i w:val="0"/>
                <w:iCs w:val="0"/>
                <w:color w:val="000000"/>
                <w:sz w:val="18"/>
                <w:szCs w:val="18"/>
                <w:u w:val="none"/>
                <w:lang w:eastAsia="zh-CN"/>
              </w:rPr>
              <w:t>基层党建</w:t>
            </w:r>
            <w:r>
              <w:rPr>
                <w:rFonts w:hint="eastAsia" w:ascii="宋体" w:hAnsi="宋体" w:eastAsia="宋体" w:cs="宋体"/>
                <w:i w:val="0"/>
                <w:iCs w:val="0"/>
                <w:color w:val="000000"/>
                <w:sz w:val="18"/>
                <w:szCs w:val="18"/>
                <w:u w:val="none"/>
                <w:lang w:eastAsia="zh-CN"/>
              </w:rPr>
              <w:t>活动、</w:t>
            </w:r>
            <w:r>
              <w:rPr>
                <w:rFonts w:hint="eastAsia" w:ascii="宋体" w:hAnsi="宋体" w:cs="宋体"/>
                <w:i w:val="0"/>
                <w:iCs w:val="0"/>
                <w:color w:val="000000"/>
                <w:sz w:val="18"/>
                <w:szCs w:val="18"/>
                <w:u w:val="none"/>
                <w:lang w:eastAsia="zh-CN"/>
              </w:rPr>
              <w:t>强化党员教育管理，凝聚队伍向心力</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2023年设施农业以奖代补项目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17"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8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17"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9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494.838</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494.838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494.838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9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494.838</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494.838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494.838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9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9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完善大棚配套设施建设，提升产能与农产品质量</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2024年“五河十路生态林”市级林木养护资金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守护前期造林成果，确保树木健康生长，提升平原森林覆盖率。同时，通过专业养护，增强森林生态功能，改善乡镇生态环境，推动绿色可持续发展。</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2024年度废弃矿山生态环境修复治理项目尾款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5.4</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5.4</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筑牢造林成果的保障防线，保障造林成果长效稳固，维护区域绿化成效，助力生态环境稳步向好。</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2024年度抗震节能农宅建设奖励资金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城乡建设办公室</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执行抗震节能，缩减能源消耗，保障民生</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2024年度农村公共照明设施管护资金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农业农村办公室</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33"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934"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3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3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3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95.0019</w:t>
            </w:r>
          </w:p>
        </w:tc>
        <w:tc>
          <w:tcPr>
            <w:tcW w:w="9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95.0019</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95.0019</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3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95.0019</w:t>
            </w:r>
          </w:p>
        </w:tc>
        <w:tc>
          <w:tcPr>
            <w:tcW w:w="9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95.0019</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95.0019</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3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3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完善镇域公共设施布局，定期检修维护，保障夜间正常亮灯，方便群众出行</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2024年度农村基础设施管护资金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农业农村办公室</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245.125756</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245.125756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245.125756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245.125756</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245.125756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245.125756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构建长效管护体系，保障农村水、电、路、公厕、环境卫生等基础设施稳定运行。资金用于设施维修、设备更新、日常养护，提升其使用效能与安全性，改善乡村生产生活条件，促进乡村建设，助力乡村振兴战略稳步推进</w:t>
            </w:r>
            <w:r>
              <w:rPr>
                <w:rFonts w:hint="eastAsia" w:ascii="宋体" w:hAnsi="宋体" w:cs="宋体"/>
                <w:i w:val="0"/>
                <w:iCs w:val="0"/>
                <w:color w:val="000000"/>
                <w:sz w:val="18"/>
                <w:szCs w:val="18"/>
                <w:u w:val="none"/>
                <w:lang w:eastAsia="zh-CN"/>
              </w:rPr>
              <w:t>。</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97</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2024年度农民劳模荣誉津贴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党群工作办公室（人大工作办公室）</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0.57</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0.57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0.57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0.57</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0.57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0.57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树立先进典型，发挥模范引领作用，以榜样力量带动村民干事热情，助力乡村发展</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2024年度平原造林工程市级林木养护资金进度款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713.3487</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713.3487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713.3487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713.3487</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713.3487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713.3487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筑牢造林成果的保障防线，保障造林成果长效稳固，维护区域绿化成效，助力生态环境稳步向好。</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2024年度首都全民义务植树补助资金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扎实组织全民义务植树，优化人居生态，提升镇域绿化率，增强群众生态意识</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97</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2024年度野生动物肇事补偿及保护项目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规范定损理赔，弥补群众财产损失，调和生态保护与民生矛盾</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2024年基层党组织党建活动经费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党群工作办公室（人大工作办公室）</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18.753</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1.43832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1.43832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7.67%</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18.753</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1.43832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1.43832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7.67%</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开展</w:t>
            </w:r>
            <w:r>
              <w:rPr>
                <w:rFonts w:hint="eastAsia" w:ascii="宋体" w:hAnsi="宋体" w:cs="宋体"/>
                <w:i w:val="0"/>
                <w:iCs w:val="0"/>
                <w:color w:val="000000"/>
                <w:sz w:val="18"/>
                <w:szCs w:val="18"/>
                <w:u w:val="none"/>
                <w:lang w:eastAsia="zh-CN"/>
              </w:rPr>
              <w:t>基层党建</w:t>
            </w:r>
            <w:r>
              <w:rPr>
                <w:rFonts w:hint="eastAsia" w:ascii="宋体" w:hAnsi="宋体" w:eastAsia="宋体" w:cs="宋体"/>
                <w:i w:val="0"/>
                <w:iCs w:val="0"/>
                <w:color w:val="000000"/>
                <w:sz w:val="18"/>
                <w:szCs w:val="18"/>
                <w:u w:val="none"/>
                <w:lang w:eastAsia="zh-CN"/>
              </w:rPr>
              <w:t>活动、</w:t>
            </w:r>
            <w:r>
              <w:rPr>
                <w:rFonts w:hint="eastAsia" w:ascii="宋体" w:hAnsi="宋体" w:cs="宋体"/>
                <w:i w:val="0"/>
                <w:iCs w:val="0"/>
                <w:color w:val="000000"/>
                <w:sz w:val="18"/>
                <w:szCs w:val="18"/>
                <w:u w:val="none"/>
                <w:lang w:eastAsia="zh-CN"/>
              </w:rPr>
              <w:t>强化党员教育管理，凝聚队伍向心力</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2024年农村地区保洁员（生活垃圾分类指导员）补贴（第二至四季度）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生态环境保护中心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48</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48</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稳固农村环境治理力量。补贴能保障农村地区保洁员合理收入，激发其做好日常保洁、引导垃圾分类的积极性；同时助力推动农村生活垃圾精准分类与处理，改善村容村貌，为村民营造洁净宜居环境，夯实农村人居环境整治成果。</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2024年疏整促项目-怀柔科学城东区周边西田各庄镇生态环境提升项目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1250.304478</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1015.653043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1015.653043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81.23%</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1250.304478</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1015.653043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i w:val="0"/>
                <w:iCs w:val="0"/>
                <w:color w:val="000000"/>
                <w:sz w:val="18"/>
                <w:szCs w:val="18"/>
                <w:u w:val="none"/>
                <w:lang w:val="en-US" w:eastAsia="zh-CN"/>
              </w:rPr>
            </w:pPr>
            <w:r>
              <w:rPr>
                <w:rFonts w:hint="eastAsia"/>
              </w:rPr>
              <w:t>1015.653043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81.23%</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优化乡镇生态与休闲环境，完善设施，为居民提供亲近自然的空间，提升生活品质，促进生态保护意识提升，助力构建宜居宜业的绿色乡镇 。</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11"/>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11"/>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2024年油松毛虫防治项目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经济发展服务中心（农业农村服务中心）</w:t>
            </w:r>
          </w:p>
        </w:tc>
        <w:tc>
          <w:tcPr>
            <w:tcW w:w="2733" w:type="dxa"/>
            <w:gridSpan w:val="5"/>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开展虫害监测与消杀工作，遏制虫害蔓延，守护森林资源</w:t>
            </w:r>
          </w:p>
        </w:tc>
        <w:tc>
          <w:tcPr>
            <w:tcW w:w="4950" w:type="dxa"/>
            <w:gridSpan w:val="8"/>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4"/>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4"/>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4"/>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97</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bl>
    <w:p>
      <w:pPr>
        <w:pStyle w:val="2"/>
      </w:pPr>
    </w:p>
    <w:tbl>
      <w:tblPr>
        <w:tblStyle w:val="14"/>
        <w:tblW w:w="89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3"/>
        <w:gridCol w:w="1079"/>
        <w:gridCol w:w="2086"/>
        <w:gridCol w:w="767"/>
        <w:gridCol w:w="1000"/>
        <w:gridCol w:w="966"/>
        <w:gridCol w:w="700"/>
        <w:gridCol w:w="884"/>
        <w:gridCol w:w="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2025年村邮员补贴资金（第二季度）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rPr>
              <w:t>农业农村办公室</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夯实农村寄递服务根基。这能保障村邮员的基本收入，激励他们坚守岗位，及时传递信件、包裹，维持乡村寄递渠道畅通，加速乡村振兴步伐</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textDirection w:val="lrTb"/>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pStyle w:val="2"/>
              <w:rPr>
                <w:rFonts w:hint="eastAsia"/>
                <w:lang w:val="en-US" w:eastAsia="zh-CN"/>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textDirection w:val="lrTb"/>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2025年村邮员补贴资金（第三季度）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rPr>
              <w:t>农业农村办公室</w:t>
            </w:r>
          </w:p>
        </w:tc>
        <w:tc>
          <w:tcPr>
            <w:tcW w:w="2733" w:type="dxa"/>
            <w:gridSpan w:val="3"/>
            <w:tcBorders>
              <w:top w:val="single" w:color="000000" w:sz="4" w:space="0"/>
              <w:left w:val="single" w:color="000000" w:sz="4" w:space="0"/>
              <w:bottom w:val="single" w:color="000000" w:sz="4" w:space="0"/>
              <w:right w:val="nil"/>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7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7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textDirection w:val="lrTb"/>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夯实农村寄递服务根基。这能保障村邮员的基本收入，激励他们坚守岗位，及时传递信件、包裹，维持乡村寄递渠道畅通，加速乡村振兴步伐</w:t>
            </w:r>
          </w:p>
        </w:tc>
        <w:tc>
          <w:tcPr>
            <w:tcW w:w="4950" w:type="dxa"/>
            <w:gridSpan w:val="6"/>
            <w:tcBorders>
              <w:top w:val="single" w:color="000000" w:sz="4" w:space="0"/>
              <w:left w:val="single" w:color="000000" w:sz="4" w:space="0"/>
              <w:bottom w:val="single" w:color="000000" w:sz="4" w:space="0"/>
              <w:right w:val="single" w:color="000000" w:sz="4" w:space="0"/>
            </w:tcBorders>
            <w:textDirection w:val="lrTb"/>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textDirection w:val="lrTb"/>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pStyle w:val="2"/>
              <w:rPr>
                <w:rFonts w:hint="eastAsia"/>
                <w:lang w:val="en-US" w:eastAsia="zh-CN"/>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textDirection w:val="lrTb"/>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2025年村邮员补贴资金（第一季度）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rPr>
              <w:t>农业农村办公室</w:t>
            </w:r>
          </w:p>
        </w:tc>
        <w:tc>
          <w:tcPr>
            <w:tcW w:w="2733" w:type="dxa"/>
            <w:gridSpan w:val="3"/>
            <w:tcBorders>
              <w:top w:val="single" w:color="000000" w:sz="4" w:space="0"/>
              <w:left w:val="single" w:color="000000" w:sz="4" w:space="0"/>
              <w:bottom w:val="single" w:color="000000" w:sz="4" w:space="0"/>
              <w:right w:val="nil"/>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7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4.62</w:t>
            </w:r>
          </w:p>
        </w:tc>
        <w:tc>
          <w:tcPr>
            <w:tcW w:w="7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textDirection w:val="lrTb"/>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夯实农村寄递服务根基。这能保障村邮员的基本收入，激励他们坚守岗位，及时传递信件、包裹，维持乡村寄递渠道畅通，加速乡村振兴步伐</w:t>
            </w:r>
          </w:p>
        </w:tc>
        <w:tc>
          <w:tcPr>
            <w:tcW w:w="4950" w:type="dxa"/>
            <w:gridSpan w:val="6"/>
            <w:tcBorders>
              <w:top w:val="single" w:color="000000" w:sz="4" w:space="0"/>
              <w:left w:val="single" w:color="000000" w:sz="4" w:space="0"/>
              <w:bottom w:val="single" w:color="000000" w:sz="4" w:space="0"/>
              <w:right w:val="single" w:color="000000" w:sz="4" w:space="0"/>
            </w:tcBorders>
            <w:textDirection w:val="lrTb"/>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textDirection w:val="lrTb"/>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textDirection w:val="lrTb"/>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2025年度农村地区保洁员（生活垃圾分类指导员）补贴资金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生态环境保护中心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576</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575.955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575.955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576</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575.955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575.955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eastAsia="zh-CN"/>
              </w:rPr>
              <w:t>稳固农村环境治理力量。补贴能保障农村地区保洁员合理收入，激发其做好日常保洁、引导垃圾分类的积极性；同时助力推动农村生活垃圾精准分类与处理，改善村容村貌，为村民营造洁净宜居环境，夯实农村人居环境整治成果。</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2025年度平原造林工程市级林木养护资金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2811.17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2811.17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2811.17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2811.17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2811.17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2811.17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守护前期造林成果，确保树木健康生长，提升平原森林覆盖率。同时，通过专业养护，增强森林生态功能，改善乡镇生态环境，推动绿色可持续发展。</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2025年度平原造林市级林木养护资金尾款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143.0312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143.0312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143.0312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143.0312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143.0312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143.0312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守护前期造林成果，确保树木健康生长，提升平原森林覆盖率。同时，通过专业养护，增强森林生态功能，改善乡镇生态环境，推动绿色可持续发展。</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97</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2025年河长制工作奖补资金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农业农村办公室</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推进水资源保护，调动乡镇积极性，激励乡镇在河长制工作中进展快、落实好、见效早，助力打造良好水生态环境 。</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2025年矿山修复移交生态林养护管理资金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20.99</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20.99</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20.99</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20.99</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20.99</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20.99</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筑牢造林成果的保障防线，保障造林成果长效稳固，维护区域绿化成效，助力生态环境稳步向好。</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97</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2025年密云区西红柿种苗补贴项目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30.14048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27.21808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27.21808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90.30%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30.14048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27.21808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27.21808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90.30%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扶持农户发展蔬菜产业，推广优良品种，减轻生产投入压力，助力农户增产增收。</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2025年密云水库库中岛土地综合补助资金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241.837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241.837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241.837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241.837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241.837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241.837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保障库区生态保护相关群众权益，推进库区生态修复，助力水源地保护，维护库区生态安全</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2025年密云水库一级保护区经济林地流转管护资金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59.4303</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59.4303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59.4303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59.4303</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59.4303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59.4303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践行绿色发展理念，助力生态建设。激励农户积极参与，保障工程顺利推进，扩大森林覆盖面积，提升生态涵养能力，打造绿色生态家园 。</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2025年农产品质量安全基层监管能力提升项目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扶持农户发展蔬菜产业，推广优良品种，减轻生产投入压力，助力农户增产增收。</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2025年农村管水员补贴（保险费））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农业农村办公室</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0.74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0.74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0.74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0.74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0.74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0.74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保障管水员权益，稳定基层水利队伍。及时到位的补贴是对其日常辛苦工作的认可与激励，助其安心履职；保险费则为他们增添职业保障，减少工作后顾之忧，全力保障农村供水系统稳定运行 。</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2025年平原造林工程市级林木养护资金进度款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633.9139</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633.9139</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633.9139</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633.9139</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633.9139</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633.9139</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守护前期造林成果，确保树木健康生长，提升平原森林覆盖率。同时，通过专业养护，增强森林生态功能，改善乡镇生态环境，推动绿色可持续发展。</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97</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2025年退耕还林林木养护资金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16.5044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16.5044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16.5044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16.5044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16.5044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16.5044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筑牢造林成果的保障防线，保障造林成果长效稳固，维护区域绿化成效，助力生态环境稳步向好。</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2</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2025年退耕还林林木养护资金尾款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经济发展服务中心（农业农村服务中心）</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4.1261</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4.1261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4.1261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4.1261</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4.1261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4.1261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筑牢造林成果的保障防线，保障造林成果长效稳固，维护区域绿化成效，助力生态环境稳步向好。</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2025年污水及供水等美丽乡村建设项目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农业农村办公室</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 xml:space="preserve">完善乡村污水收集与处理体系，提升污水收集处理能力，改善村庄水环境，助力乡村生态振兴，提升村民生活品质 </w:t>
            </w:r>
            <w:r>
              <w:rPr>
                <w:rFonts w:hint="eastAsia" w:ascii="宋体" w:hAnsi="宋体" w:cs="宋体"/>
                <w:i w:val="0"/>
                <w:iCs w:val="0"/>
                <w:color w:val="000000"/>
                <w:sz w:val="18"/>
                <w:szCs w:val="18"/>
                <w:u w:val="none"/>
                <w:lang w:val="en-US" w:eastAsia="zh-CN"/>
              </w:rPr>
              <w:t>。</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2025年乡村振兴产业综合发展项目-聚盛源养殖场鲟鱼种业基地提升项目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助力发展畜禽养殖产业，壮大乡村特色产业，带动农户稳定增收。</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北京市密云区冬季清洁取暖项目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086"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733"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208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25.04762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25.04762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25.04762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25.04762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25.04762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25.04762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76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165"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165"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降低群众冬季采暖成本，减少燃煤污染，改善人居环境，惠民政策落实到位。</w:t>
            </w:r>
          </w:p>
        </w:tc>
        <w:tc>
          <w:tcPr>
            <w:tcW w:w="4950"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767"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67"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20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401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767"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97</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bl>
    <w:p/>
    <w:tbl>
      <w:tblPr>
        <w:tblStyle w:val="14"/>
        <w:tblW w:w="89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3"/>
        <w:gridCol w:w="1079"/>
        <w:gridCol w:w="1969"/>
        <w:gridCol w:w="884"/>
        <w:gridCol w:w="1000"/>
        <w:gridCol w:w="966"/>
        <w:gridCol w:w="700"/>
        <w:gridCol w:w="884"/>
        <w:gridCol w:w="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北京市密云区农田灌溉能力提升试点项目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282.77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212.001284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212.001284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74.97%</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282.77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212.001284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212.001284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74.97%</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提升农田质量和产出能力，增强抗灾能力，推动农业现代化进程，保障国家粮食安全、促进农业绿色发展、促进农民增收、优化土地资源配置以及助力乡村振兴战略实施</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bl>
    <w:p/>
    <w:tbl>
      <w:tblPr>
        <w:tblStyle w:val="14"/>
        <w:tblW w:w="89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3"/>
        <w:gridCol w:w="1079"/>
        <w:gridCol w:w="1969"/>
        <w:gridCol w:w="884"/>
        <w:gridCol w:w="1000"/>
        <w:gridCol w:w="966"/>
        <w:gridCol w:w="700"/>
        <w:gridCol w:w="884"/>
        <w:gridCol w:w="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补贴重点林区森林防火隔离带（可燃物清理）项目）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经济发展服务中心（农业农村服务中心）</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完善森林防火物资配置，提升森林火情处置能力和应急防控水平，守护森林资源安全。</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bl>
    <w:p/>
    <w:tbl>
      <w:tblPr>
        <w:tblStyle w:val="14"/>
        <w:tblW w:w="89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3"/>
        <w:gridCol w:w="1079"/>
        <w:gridCol w:w="1969"/>
        <w:gridCol w:w="884"/>
        <w:gridCol w:w="1000"/>
        <w:gridCol w:w="966"/>
        <w:gridCol w:w="700"/>
        <w:gridCol w:w="884"/>
        <w:gridCol w:w="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财源建设奖励资金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经济发展办公室（统计所）</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10</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10</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10</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10</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both"/>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培育稳固税源，拓宽增收渠道，激发干事创业积极性。</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残疾人服务问需工作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便民服务中心（退役军人服务站）</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11.0775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11.0775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11.0775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11.0775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11.0775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11.0775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精准掌握残障群体诉求，落实帮扶关爱举措，切实解决群众急难问题。</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残疾人温馨家园运转经费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便民服务中心（退役军人服务站）</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150.4375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150.4375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150.4375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150.4375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150.4375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150.4375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健全常态化服务机制，切实改善残疾人生活品质，有效保障残疾人群体权益。</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密云区美丽乡村地上工程-西田各庄镇渤海寨村（债券资金）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shd w:val="clear" w:color="auto" w:fill="FFFFFF" w:themeFill="background1"/>
            <w:textDirection w:val="lrTb"/>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302.953627</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textDirection w:val="lrTb"/>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302.953627</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textDirection w:val="lrTb"/>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302.953627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shd w:val="clear" w:color="auto" w:fill="FFFFFF" w:themeFill="background1"/>
            <w:textDirection w:val="lrTb"/>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302.953627</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textDirection w:val="lrTb"/>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302.953627</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textDirection w:val="lrTb"/>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302.953627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密云区美丽乡村地上工程-西田各庄镇仓头村（债券资金）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243.384122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243.384122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243.384122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243.384122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243.384122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243.384122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密云区美丽乡村地上工程-西田各庄镇大辛庄村进度款（债券资金）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791.280417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791.280417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791.280417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791.280417</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791.280417</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791.280417</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密云区美丽乡村地上工程西田各庄镇牛盆峪村实施项目（绿化、路灯、设计及招标代理费用）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141.220553</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141.220553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141.220553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141.220553</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141.220553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141.220553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密云区美丽乡村地上工程-西田各庄镇太子务村、东户部庄村（债券资金）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313.243352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313.243352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313.243352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313.243352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313.243352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313.243352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密云区美丽乡村地上工程-西田各庄镇西恒河村（债券资金）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138.852213</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138.852213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138.852213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138.852213</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138.852213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138.852213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密云区美丽乡村地上工程-西田各庄镇西康各庄村进度款（债券资金）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163.073668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163.073668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163.073668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163.073668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163.073668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163.073668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密云区美丽乡村地上工程-西田各庄镇西庄户村进度款（债券资金）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122.055461</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122.055461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122.055461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122.055461</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122.055461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122.055461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密云区美丽乡村地上工程-西田各庄镇卸甲山村进度款（债券资金）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507.403338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507.403338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507.403338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507.403338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507.403338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507.403338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密云区美丽乡村地上工程-西田各庄镇沿村（债券资金）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209.251742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209.251742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209.251742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209.251742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209.251742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209.251742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密云区美丽乡村建设地上工程资金（2025年化债资金）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3103.478744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3103.478744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3103.478744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3103.478744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3103.478744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3103.478744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城乡道路占地补偿资金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城乡建设办公室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116.568102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116.568102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116.568102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116.568102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116.568102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116.568102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切实保障被征地群众合法权益，有效化解基层矛盾，助力道路工程顺利推进，维护辖区社会稳定。</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城乡无丧葬补助居民丧葬补贴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便民服务中心（退役军人服务站）</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3.5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3.5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3.5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3.5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保障民生，提升社会服务均等化，促进社会和谐发展</w:t>
            </w:r>
            <w:r>
              <w:rPr>
                <w:rFonts w:hint="eastAsia" w:ascii="宋体" w:hAnsi="宋体" w:cs="宋体"/>
                <w:i w:val="0"/>
                <w:iCs w:val="0"/>
                <w:color w:val="000000"/>
                <w:sz w:val="18"/>
                <w:szCs w:val="18"/>
                <w:u w:val="none"/>
                <w:lang w:val="en-US" w:eastAsia="zh-CN"/>
              </w:rPr>
              <w:t>。</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村居计生专干补贴及奖励资金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便民服务中心（退役军人服务站）</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14.615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14.615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14.615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14.615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14.615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14.615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补贴改善专干待遇，稳定工作队伍</w:t>
            </w:r>
            <w:r>
              <w:rPr>
                <w:rFonts w:hint="eastAsia" w:ascii="宋体" w:hAnsi="宋体" w:cs="宋体"/>
                <w:i w:val="0"/>
                <w:iCs w:val="0"/>
                <w:color w:val="000000"/>
                <w:sz w:val="18"/>
                <w:szCs w:val="18"/>
                <w:u w:val="none"/>
                <w:lang w:val="en-US" w:eastAsia="zh-CN"/>
              </w:rPr>
              <w:t>。</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地质灾害群测群防员补贴经费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城乡建设办公室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全方位筑牢安全防线，同时加固山体、完善排水，消除隐患点威胁，保障居民生命财产安全，助力乡村安全发展，维护社会稳定。</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防范和处理邪教工作经费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平安建设办公室（人民武装部、司法所）</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0.815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0.815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0.815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0.815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落实防范和处理邪教工作，开展宣传引导、隐患排查，提升群众识邪防邪医意识，维护镇域平安稳定。</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复耕地块土壤检测任务所需资金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城乡建设办公室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9.45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9.45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9.45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9.45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9.45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9.45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严守耕地红线，保障粮食根基。激励农户与经营主体积极参与。通过扩大有效耕地面积、提升耕地质量，推动耕地规模化、高效化利用，让闲置地化作丰收田 。</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复耕土地流转费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城乡建设办公室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919.272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916.53376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916.53376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99.70%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919.272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916.53376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916.53376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99.70%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严守耕地红线，保障粮食根基。激励农户与经营主体积极参与。通过扩大有效耕地面积、提升耕地质量，推动耕地规模化、高效化利用，让闲置地化作丰收田 。</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高校毕业生“三支一扶”计划人员经费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党群工作办公室（人大工作办公室）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275.103048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251.911346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251.911346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275.103048</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251.911346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251.911346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保障“三支一扶”人员生活和工作需求，激励高校毕业生投身基层服务，促进基层人才队伍建设，推动乡村振兴和区域协调发展。</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公益电影放映场次补贴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市民活动中心（党群活动中心、文化和旅游服务中心）</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5.84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5.84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5.84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5.84</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5.84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5.84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常态化开展公益电影下乡放映工作，完善基层公共文化服务，充实村民业余文化生活。</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怀柔科学城东区及周边路网建设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城乡建设办公室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89.176</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89.176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89.176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89.176</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89.176</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89.176</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优化区域路网结构，提升交通通行能力，夯实科学城发展硬件支撑，完善交通基础设施。</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基层党组织服务群众经费-区负担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党群工作办公室（人大工作办公室）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1044.848</w:t>
            </w: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604.9983</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604.9983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57.90%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1044.848</w:t>
            </w:r>
          </w:p>
        </w:tc>
        <w:tc>
          <w:tcPr>
            <w:tcW w:w="1000"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604.9983</w:t>
            </w:r>
          </w:p>
        </w:tc>
        <w:tc>
          <w:tcPr>
            <w:tcW w:w="966" w:type="dxa"/>
            <w:tcBorders>
              <w:top w:val="single" w:color="000000" w:sz="4" w:space="0"/>
              <w:left w:val="single" w:color="000000" w:sz="4" w:space="0"/>
              <w:bottom w:val="single" w:color="000000" w:sz="4" w:space="0"/>
              <w:right w:val="single" w:color="000000" w:sz="4" w:space="0"/>
            </w:tcBorders>
            <w:textDirection w:val="lrTb"/>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604.9983</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57.90%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扎实开展为民办实事活动，完善基层服务阵地，增强党组织服务能力，提升基层治理效能，密切党群干群关系。</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基层党组织服务群众经费-市负担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党群工作办公室（人大工作办公室）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910</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910</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910</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910</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扎实开展为民办实事活动，完善基层服务阵地，增强党组织服务能力，提升基层治理效能，密切党群干群关系。</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极端强降雨洪涝灾害救助资金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53.6975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53.6975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53.6975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53.6975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53.6975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53.6975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扎实开展极端洪涝灾害应急处置，隐患排查，灾后修复及物资保障，有效降低灾害损失，保障群众生命财产安全。</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98</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计划生育家庭奖励及扶助资金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便民服务中心（退役军人服务站）</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严格落实相关政策要求，帮扶计生特殊家庭，提升群众政策获得感，切实保障计生家庭权益。</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计划生育特殊家庭扶助保障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便民服务中心（退役军人服务站）</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严格落实相关政策要求，帮扶计生特殊家庭，提升群众政策获得感，切实保障计生家庭权益。</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兼职安全生产巡查员岗位津贴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平安建设办公室（人民武装部、司法所）</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16.632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16.632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16.632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16.632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16.632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16.632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落实兼职安全生产巡查员经费，保障常态化开展安全巡查，隐患整改与宣教工作，助牢基层安全防线。</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97</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科学城东区等基础设施与道路工程项目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城乡建设办公室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2758.0672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2758.0672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2758.0672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2758.0672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2758.0672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2758.0672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优化区域路网结构，提升交通通行能力，夯实科学城发展硬件支撑，完善交通基础设施。</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pStyle w:val="2"/>
              <w:rPr>
                <w:rFonts w:hint="eastAsia" w:ascii="宋体" w:hAnsi="宋体" w:eastAsia="宋体" w:cs="宋体"/>
                <w:b/>
                <w:bCs/>
                <w:i w:val="0"/>
                <w:iCs w:val="0"/>
                <w:color w:val="000000"/>
                <w:kern w:val="0"/>
                <w:sz w:val="32"/>
                <w:szCs w:val="32"/>
                <w:u w:val="none"/>
                <w:lang w:val="en-US" w:eastAsia="zh-CN" w:bidi="ar"/>
              </w:rPr>
            </w:pPr>
          </w:p>
          <w:p>
            <w:pPr>
              <w:rPr>
                <w:rFonts w:hint="eastAsia"/>
                <w:lang w:val="en-US" w:eastAsia="zh-CN"/>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旅游公共服务设施提升（旅游公厕）项目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市民活动中心（党群活动中心、文化和旅游服务中心）</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45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45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45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45</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45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rPr>
              <w:t>45</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挖掘乡村特色旅游资源，完善旅游基础设施，培育乡村旅游新业态，吸引游客，带动村民就业增收，助力乡村经济腾飞，实现乡村振兴战略目标 。</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美丽乡村穆家峪镇西穆家峪村等132个村供水及污水前端收集系统建设工程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1229.483361</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1229.483361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1229.483361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1229.483361</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1229.483361</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1229.483361</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密新路（韩各庄路口-区界）道路工程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城乡建设办公室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135.92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135.92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135.92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135.92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135.92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135.92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完善区域路网结构，改善群众出行条件，助力科学城建设。</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密新路（韩各庄路口—区界）道路工程征地拆迁补助项目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城乡建设办公室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465.082959</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444.101394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444.101394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91.93%</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465.082959</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444.101394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default" w:ascii="宋体" w:hAnsi="宋体" w:cs="宋体"/>
                <w:i w:val="0"/>
                <w:iCs w:val="0"/>
                <w:color w:val="000000"/>
                <w:sz w:val="18"/>
                <w:szCs w:val="18"/>
                <w:u w:val="none"/>
                <w:lang w:val="en-US" w:eastAsia="zh-CN"/>
              </w:rPr>
              <w:t>444.101394</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91.93%</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完善区域路网结构，改善群众出行条件，助力科学城建设。</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8968" w:type="dxa"/>
            <w:gridSpan w:val="9"/>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8968" w:type="dxa"/>
            <w:gridSpan w:val="9"/>
            <w:tcBorders>
              <w:top w:val="nil"/>
              <w:left w:val="nil"/>
              <w:bottom w:val="nil"/>
              <w:right w:val="nil"/>
            </w:tcBorders>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03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密云农村污水（供水）工程占掘路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969" w:type="dxa"/>
            <w:tcBorders>
              <w:top w:val="single" w:color="000000" w:sz="4" w:space="0"/>
              <w:left w:val="single" w:color="000000" w:sz="4" w:space="0"/>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val="en-US" w:eastAsia="zh-CN"/>
              </w:rPr>
              <w:t>农业农村办公室</w:t>
            </w:r>
          </w:p>
        </w:tc>
        <w:tc>
          <w:tcPr>
            <w:tcW w:w="2850" w:type="dxa"/>
            <w:gridSpan w:val="3"/>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21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西田各庄镇政府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96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0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135.92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135.92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135.92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10分</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其中：当年财政拨款</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135.92</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135.92</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135.92</w:t>
            </w: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100%</w:t>
            </w: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上年结转资金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1932" w:type="dxa"/>
            <w:gridSpan w:val="2"/>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63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048" w:type="dxa"/>
            <w:gridSpan w:val="2"/>
            <w:tcBorders>
              <w:top w:val="single" w:color="000000" w:sz="4" w:space="0"/>
              <w:left w:val="single" w:color="000000" w:sz="4" w:space="0"/>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8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3048" w:type="dxa"/>
            <w:gridSpan w:val="2"/>
            <w:tcBorders>
              <w:top w:val="single" w:color="000000" w:sz="4" w:space="0"/>
              <w:left w:val="single" w:color="000000" w:sz="4" w:space="0"/>
              <w:bottom w:val="single" w:color="000000" w:sz="4" w:space="0"/>
              <w:right w:val="nil"/>
            </w:tcBorders>
            <w:vAlign w:val="center"/>
          </w:tcPr>
          <w:p>
            <w:pPr>
              <w:jc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val="en-US" w:eastAsia="zh-CN"/>
              </w:rPr>
              <w:t>推动乡村基础设施建设，改善农村面貌。补齐设施短板，提升乡村生态环境，为产业发展筑牢根基，促进乡村宜居宜业，带动村民增收致富，助力乡村振兴稳步前行。</w:t>
            </w:r>
          </w:p>
        </w:tc>
        <w:tc>
          <w:tcPr>
            <w:tcW w:w="5067" w:type="dxa"/>
            <w:gridSpan w:val="6"/>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853"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10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884" w:type="dxa"/>
            <w:gridSpan w:val="2"/>
            <w:tcBorders>
              <w:top w:val="single" w:color="000000" w:sz="4" w:space="0"/>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217" w:type="dxa"/>
            <w:gridSpan w:val="3"/>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产出指标（40分）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4" w:type="dxa"/>
            <w:gridSpan w:val="2"/>
            <w:tcBorders>
              <w:top w:val="single" w:color="000000" w:sz="4" w:space="0"/>
              <w:left w:val="nil"/>
              <w:bottom w:val="nil"/>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14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4</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4</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3</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9</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5</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853" w:type="dxa"/>
            <w:vMerge w:val="continue"/>
            <w:tcBorders>
              <w:top w:val="single" w:color="000000" w:sz="4" w:space="0"/>
              <w:left w:val="single" w:color="000000" w:sz="4" w:space="0"/>
              <w:bottom w:val="nil"/>
              <w:right w:val="single" w:color="000000" w:sz="4" w:space="0"/>
            </w:tcBorders>
            <w:vAlign w:val="center"/>
          </w:tcPr>
          <w:p>
            <w:pPr>
              <w:jc w:val="center"/>
              <w:rPr>
                <w:rFonts w:hint="eastAsia" w:ascii="宋体" w:hAnsi="宋体" w:eastAsia="宋体" w:cs="宋体"/>
                <w:i w:val="0"/>
                <w:iCs w:val="0"/>
                <w:color w:val="000000"/>
                <w:sz w:val="18"/>
                <w:szCs w:val="18"/>
                <w:u w:val="none"/>
              </w:rPr>
            </w:pPr>
          </w:p>
        </w:tc>
        <w:tc>
          <w:tcPr>
            <w:tcW w:w="1079"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9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390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884" w:type="dxa"/>
            <w:gridSpan w:val="2"/>
            <w:tcBorders>
              <w:top w:val="single" w:color="000000" w:sz="4" w:space="0"/>
              <w:left w:val="nil"/>
              <w:bottom w:val="single" w:color="000000" w:sz="4" w:space="0"/>
              <w:right w:val="nil"/>
            </w:tcBorders>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96</w:t>
            </w:r>
          </w:p>
        </w:tc>
        <w:tc>
          <w:tcPr>
            <w:tcW w:w="2217" w:type="dxa"/>
            <w:gridSpan w:val="3"/>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i w:val="0"/>
                <w:iCs w:val="0"/>
                <w:color w:val="000000"/>
                <w:sz w:val="18"/>
                <w:szCs w:val="18"/>
                <w:u w:val="none"/>
              </w:rPr>
            </w:pPr>
          </w:p>
        </w:tc>
      </w:tr>
    </w:tbl>
    <w:p>
      <w:pPr>
        <w:pStyle w:val="2"/>
      </w:pPr>
    </w:p>
    <w:p>
      <w:pPr>
        <w:pStyle w:val="2"/>
        <w:rPr>
          <w:rFonts w:hint="eastAsia"/>
        </w:rPr>
      </w:pPr>
      <w:bookmarkStart w:id="0" w:name="_GoBack"/>
      <w:bookmarkEnd w:id="0"/>
    </w:p>
    <w:p>
      <w:pPr>
        <w:pStyle w:val="2"/>
        <w:rPr>
          <w:rFonts w:hint="eastAsia"/>
        </w:rPr>
      </w:pPr>
    </w:p>
    <w:p>
      <w:pPr>
        <w:spacing w:line="480" w:lineRule="exact"/>
      </w:pPr>
    </w:p>
    <w:sectPr>
      <w:footerReference r:id="rId4" w:type="default"/>
      <w:footerReference r:id="rId5"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Droid Sans">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altName w:val="宋体"/>
    <w:panose1 w:val="02010609060101010101"/>
    <w:charset w:val="86"/>
    <w:family w:val="auto"/>
    <w:pitch w:val="default"/>
    <w:sig w:usb0="00000000" w:usb1="00000000" w:usb2="00000000" w:usb3="00000000" w:csb0="00040001" w:csb1="00000000"/>
  </w:font>
  <w:font w:name="KSOFE44F9426">
    <w:altName w:val="宋体"/>
    <w:panose1 w:val="02010609060101010101"/>
    <w:charset w:val="86"/>
    <w:family w:val="auto"/>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 w:name="汉仪大宋简">
    <w:altName w:val="宋体"/>
    <w:panose1 w:val="02010600000101010101"/>
    <w:charset w:val="86"/>
    <w:family w:val="auto"/>
    <w:pitch w:val="default"/>
    <w:sig w:usb0="00000000" w:usb1="00000000" w:usb2="00000002" w:usb3="00000000" w:csb0="00040000" w:csb1="00000000"/>
  </w:font>
  <w:font w:name="汉仪字酷堂长林体W">
    <w:altName w:val="宋体"/>
    <w:panose1 w:val="00020600040101010101"/>
    <w:charset w:val="86"/>
    <w:family w:val="auto"/>
    <w:pitch w:val="default"/>
    <w:sig w:usb0="00000000" w:usb1="00000000"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fldChar w:fldCharType="begin"/>
    </w:r>
    <w:r>
      <w:rPr>
        <w:rStyle w:val="13"/>
      </w:rPr>
      <w:instrText xml:space="preserve">PAGE  </w:instrText>
    </w:r>
    <w:r>
      <w:fldChar w:fldCharType="separate"/>
    </w:r>
    <w:r>
      <w:rPr>
        <w:rStyle w:val="13"/>
      </w:rPr>
      <w:t>3</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fldChar w:fldCharType="begin"/>
    </w:r>
    <w:r>
      <w:rPr>
        <w:rStyle w:val="13"/>
      </w:rPr>
      <w:instrText xml:space="preserve">PAGE  </w:instrText>
    </w:r>
    <w:r>
      <w:fldChar w:fldCharType="separate"/>
    </w:r>
    <w:r>
      <w:rPr>
        <w:rStyle w:val="13"/>
      </w:rPr>
      <w:t>5</w:t>
    </w:r>
    <w: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fldChar w:fldCharType="begin"/>
    </w:r>
    <w:r>
      <w:rPr>
        <w:rStyle w:val="13"/>
      </w:rPr>
      <w:instrText xml:space="preserve">PAGE  </w:instrText>
    </w:r>
    <w:r>
      <w:fldChar w:fldCharType="separate"/>
    </w:r>
    <w:r>
      <w:rPr>
        <w:rStyle w:val="13"/>
      </w:rPr>
      <w:t>15</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7E84BE"/>
    <w:multiLevelType w:val="singleLevel"/>
    <w:tmpl w:val="8D7E84B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mNWE4NzRhMTczNjJlZDE5ZTE5YTczN2QxMzcyMjAifQ=="/>
  </w:docVars>
  <w:rsids>
    <w:rsidRoot w:val="00100246"/>
    <w:rsid w:val="00003B03"/>
    <w:rsid w:val="000040E6"/>
    <w:rsid w:val="00011D72"/>
    <w:rsid w:val="00027CD5"/>
    <w:rsid w:val="00031B8E"/>
    <w:rsid w:val="00033EC1"/>
    <w:rsid w:val="00034224"/>
    <w:rsid w:val="00040275"/>
    <w:rsid w:val="0004719C"/>
    <w:rsid w:val="00047F6E"/>
    <w:rsid w:val="00051B00"/>
    <w:rsid w:val="000601B1"/>
    <w:rsid w:val="00063034"/>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1B61"/>
    <w:rsid w:val="000D6854"/>
    <w:rsid w:val="000E0B26"/>
    <w:rsid w:val="000E3291"/>
    <w:rsid w:val="000F08FE"/>
    <w:rsid w:val="000F208B"/>
    <w:rsid w:val="000F2A48"/>
    <w:rsid w:val="000F49BE"/>
    <w:rsid w:val="00100246"/>
    <w:rsid w:val="0010682D"/>
    <w:rsid w:val="001073C6"/>
    <w:rsid w:val="00107DB5"/>
    <w:rsid w:val="00113613"/>
    <w:rsid w:val="0011483D"/>
    <w:rsid w:val="00115724"/>
    <w:rsid w:val="00130995"/>
    <w:rsid w:val="00131FF9"/>
    <w:rsid w:val="00132320"/>
    <w:rsid w:val="00135B6A"/>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69BF"/>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267A6"/>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0C8B"/>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05701"/>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1D09"/>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81E1A"/>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1827"/>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6E4722"/>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6EE1"/>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27892"/>
    <w:rsid w:val="009319B9"/>
    <w:rsid w:val="009351E9"/>
    <w:rsid w:val="00937862"/>
    <w:rsid w:val="00942279"/>
    <w:rsid w:val="009524EB"/>
    <w:rsid w:val="00962013"/>
    <w:rsid w:val="00963942"/>
    <w:rsid w:val="0096716C"/>
    <w:rsid w:val="009672B2"/>
    <w:rsid w:val="00971C66"/>
    <w:rsid w:val="00972363"/>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13B5"/>
    <w:rsid w:val="00A429CB"/>
    <w:rsid w:val="00A44E87"/>
    <w:rsid w:val="00A5063C"/>
    <w:rsid w:val="00A52749"/>
    <w:rsid w:val="00A5422E"/>
    <w:rsid w:val="00A56EC1"/>
    <w:rsid w:val="00A6350C"/>
    <w:rsid w:val="00A6370B"/>
    <w:rsid w:val="00A63A73"/>
    <w:rsid w:val="00A6655C"/>
    <w:rsid w:val="00A66CBB"/>
    <w:rsid w:val="00A6704E"/>
    <w:rsid w:val="00A67EA4"/>
    <w:rsid w:val="00A773FF"/>
    <w:rsid w:val="00A83AA1"/>
    <w:rsid w:val="00A906F4"/>
    <w:rsid w:val="00A9343A"/>
    <w:rsid w:val="00A9706C"/>
    <w:rsid w:val="00A97B34"/>
    <w:rsid w:val="00AA1B5C"/>
    <w:rsid w:val="00AA7A27"/>
    <w:rsid w:val="00AB3FB0"/>
    <w:rsid w:val="00AB465D"/>
    <w:rsid w:val="00AB713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0ABA"/>
    <w:rsid w:val="00B859FF"/>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E6B7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43AB"/>
    <w:rsid w:val="00E26641"/>
    <w:rsid w:val="00E2778F"/>
    <w:rsid w:val="00E278B0"/>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17"/>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1762"/>
    <w:rsid w:val="00F345D3"/>
    <w:rsid w:val="00F356ED"/>
    <w:rsid w:val="00F359B5"/>
    <w:rsid w:val="00F4144F"/>
    <w:rsid w:val="00F433F3"/>
    <w:rsid w:val="00F47F64"/>
    <w:rsid w:val="00F522D9"/>
    <w:rsid w:val="00F52F54"/>
    <w:rsid w:val="00F53584"/>
    <w:rsid w:val="00F61B24"/>
    <w:rsid w:val="00F62DE5"/>
    <w:rsid w:val="00F63F8A"/>
    <w:rsid w:val="00F6514E"/>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2F120AB"/>
    <w:rsid w:val="032B5196"/>
    <w:rsid w:val="04C3537C"/>
    <w:rsid w:val="079004AC"/>
    <w:rsid w:val="09437A00"/>
    <w:rsid w:val="0BA148CA"/>
    <w:rsid w:val="0C1165C4"/>
    <w:rsid w:val="0D6D544B"/>
    <w:rsid w:val="0DD136FE"/>
    <w:rsid w:val="0F8E2C57"/>
    <w:rsid w:val="1059665E"/>
    <w:rsid w:val="10AC13BA"/>
    <w:rsid w:val="10B24CDC"/>
    <w:rsid w:val="145A6C1B"/>
    <w:rsid w:val="14B73493"/>
    <w:rsid w:val="15A76194"/>
    <w:rsid w:val="167A2FF9"/>
    <w:rsid w:val="16855FB1"/>
    <w:rsid w:val="17E05399"/>
    <w:rsid w:val="17E23CEF"/>
    <w:rsid w:val="18581C69"/>
    <w:rsid w:val="186D28E5"/>
    <w:rsid w:val="19C61089"/>
    <w:rsid w:val="1AEC0734"/>
    <w:rsid w:val="1DEF20B0"/>
    <w:rsid w:val="214243FA"/>
    <w:rsid w:val="21943BC4"/>
    <w:rsid w:val="21AD613C"/>
    <w:rsid w:val="22467189"/>
    <w:rsid w:val="23A564E2"/>
    <w:rsid w:val="257A14F5"/>
    <w:rsid w:val="27196C26"/>
    <w:rsid w:val="29EF086F"/>
    <w:rsid w:val="2A014A0F"/>
    <w:rsid w:val="2BC57AB1"/>
    <w:rsid w:val="2DC431D1"/>
    <w:rsid w:val="2EE41F00"/>
    <w:rsid w:val="2EFFE297"/>
    <w:rsid w:val="301437CA"/>
    <w:rsid w:val="309D1CD4"/>
    <w:rsid w:val="32142EEC"/>
    <w:rsid w:val="32791381"/>
    <w:rsid w:val="349D1F0A"/>
    <w:rsid w:val="34DD0473"/>
    <w:rsid w:val="36E4127A"/>
    <w:rsid w:val="3ABB64FF"/>
    <w:rsid w:val="3B4C6727"/>
    <w:rsid w:val="3C181CA7"/>
    <w:rsid w:val="3C684897"/>
    <w:rsid w:val="3E082CC4"/>
    <w:rsid w:val="3E0B6674"/>
    <w:rsid w:val="433E495C"/>
    <w:rsid w:val="471C1B59"/>
    <w:rsid w:val="489F2FD7"/>
    <w:rsid w:val="4AC27CB3"/>
    <w:rsid w:val="4BF72BEF"/>
    <w:rsid w:val="4D31060E"/>
    <w:rsid w:val="4DC8237D"/>
    <w:rsid w:val="4E770ACC"/>
    <w:rsid w:val="4FA90297"/>
    <w:rsid w:val="4FC41A43"/>
    <w:rsid w:val="4FFD4B62"/>
    <w:rsid w:val="51DB3C59"/>
    <w:rsid w:val="53AB0FE8"/>
    <w:rsid w:val="550C0952"/>
    <w:rsid w:val="55762E42"/>
    <w:rsid w:val="57A7B272"/>
    <w:rsid w:val="57BD4432"/>
    <w:rsid w:val="58470068"/>
    <w:rsid w:val="58747CAC"/>
    <w:rsid w:val="5A1720F9"/>
    <w:rsid w:val="5B9C37C2"/>
    <w:rsid w:val="5BA7C654"/>
    <w:rsid w:val="5DAA4AF0"/>
    <w:rsid w:val="6053741B"/>
    <w:rsid w:val="60A54109"/>
    <w:rsid w:val="612C6DE9"/>
    <w:rsid w:val="61615665"/>
    <w:rsid w:val="61D01CDF"/>
    <w:rsid w:val="64C0607C"/>
    <w:rsid w:val="65756C86"/>
    <w:rsid w:val="674D385B"/>
    <w:rsid w:val="676F09E1"/>
    <w:rsid w:val="67AE4F18"/>
    <w:rsid w:val="6FF805E1"/>
    <w:rsid w:val="71793A80"/>
    <w:rsid w:val="7357290B"/>
    <w:rsid w:val="762C5C9C"/>
    <w:rsid w:val="798524E4"/>
    <w:rsid w:val="7A7F1C49"/>
    <w:rsid w:val="7B5B7AE6"/>
    <w:rsid w:val="7B6D10CE"/>
    <w:rsid w:val="7B7B6628"/>
    <w:rsid w:val="7B871AF7"/>
    <w:rsid w:val="7BA7071E"/>
    <w:rsid w:val="7BDF6DA8"/>
    <w:rsid w:val="7BDF7589"/>
    <w:rsid w:val="7C7EDC1A"/>
    <w:rsid w:val="7CCED98D"/>
    <w:rsid w:val="7D08410F"/>
    <w:rsid w:val="7D2759BE"/>
    <w:rsid w:val="7DA550FD"/>
    <w:rsid w:val="7DB96DED"/>
    <w:rsid w:val="7DD3AD81"/>
    <w:rsid w:val="7F7FE70F"/>
    <w:rsid w:val="7FFF772F"/>
    <w:rsid w:val="95F35EF6"/>
    <w:rsid w:val="9BFFD860"/>
    <w:rsid w:val="AC5F73DE"/>
    <w:rsid w:val="B5DDD2C8"/>
    <w:rsid w:val="B9DFABD9"/>
    <w:rsid w:val="BC0D83FC"/>
    <w:rsid w:val="BF3BDEFB"/>
    <w:rsid w:val="C75F6086"/>
    <w:rsid w:val="C7F7ED2D"/>
    <w:rsid w:val="CFAF854E"/>
    <w:rsid w:val="D8D7928E"/>
    <w:rsid w:val="D8FE3136"/>
    <w:rsid w:val="DDDE60B7"/>
    <w:rsid w:val="DE9F6A22"/>
    <w:rsid w:val="DF4FCE6A"/>
    <w:rsid w:val="E4FED278"/>
    <w:rsid w:val="EDAA365C"/>
    <w:rsid w:val="EDADFC12"/>
    <w:rsid w:val="F2FD229B"/>
    <w:rsid w:val="F7F709E9"/>
    <w:rsid w:val="F7FF3690"/>
    <w:rsid w:val="F9BD3900"/>
    <w:rsid w:val="FC8B9876"/>
    <w:rsid w:val="FEDFF218"/>
    <w:rsid w:val="FEDFFFF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ind w:firstLine="643" w:firstLineChars="200"/>
      <w:outlineLvl w:val="0"/>
    </w:pPr>
    <w:rPr>
      <w:rFonts w:ascii="宋体" w:hAnsi="Times New Roman" w:cs="宋体"/>
      <w:b/>
      <w:bCs/>
      <w:kern w:val="44"/>
      <w:sz w:val="32"/>
      <w:szCs w:val="32"/>
    </w:rPr>
  </w:style>
  <w:style w:type="paragraph" w:styleId="2">
    <w:name w:val="heading 2"/>
    <w:basedOn w:val="1"/>
    <w:next w:val="1"/>
    <w:qFormat/>
    <w:uiPriority w:val="0"/>
    <w:pPr>
      <w:keepNext/>
      <w:keepLines/>
      <w:spacing w:before="100" w:beforeAutospacing="1" w:after="100" w:afterAutospacing="1"/>
      <w:outlineLvl w:val="1"/>
    </w:pPr>
    <w:rPr>
      <w:rFonts w:ascii="Cambria" w:hAnsi="Cambria" w:eastAsia="黑体"/>
      <w:b/>
      <w:bCs/>
      <w:kern w:val="0"/>
      <w:sz w:val="36"/>
      <w:szCs w:val="32"/>
    </w:rPr>
  </w:style>
  <w:style w:type="character" w:default="1" w:styleId="11">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ind w:firstLine="200" w:firstLineChars="200"/>
    </w:pPr>
  </w:style>
  <w:style w:type="paragraph" w:styleId="5">
    <w:name w:val="Body Text Indent"/>
    <w:basedOn w:val="1"/>
    <w:qFormat/>
    <w:uiPriority w:val="0"/>
    <w:pPr>
      <w:ind w:firstLine="645"/>
    </w:pPr>
    <w:rPr>
      <w:rFonts w:ascii="仿宋_GB2312" w:hAnsi="Calibri" w:eastAsia="仿宋_GB2312"/>
      <w:sz w:val="32"/>
      <w:szCs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5"/>
    <w:qFormat/>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0">
    <w:name w:val="Normal (Web)"/>
    <w:basedOn w:val="1"/>
    <w:unhideWhenUsed/>
    <w:qFormat/>
    <w:uiPriority w:val="0"/>
    <w:pPr>
      <w:spacing w:before="100" w:beforeAutospacing="1" w:after="100" w:afterAutospacing="1"/>
      <w:ind w:right="238"/>
      <w:jc w:val="left"/>
    </w:pPr>
    <w:rPr>
      <w:b/>
      <w:kern w:val="0"/>
      <w:sz w:val="24"/>
      <w:szCs w:val="20"/>
    </w:rPr>
  </w:style>
  <w:style w:type="character" w:styleId="12">
    <w:name w:val="Strong"/>
    <w:qFormat/>
    <w:uiPriority w:val="0"/>
    <w:rPr>
      <w:b/>
    </w:rPr>
  </w:style>
  <w:style w:type="character" w:styleId="13">
    <w:name w:val="page number"/>
    <w:qFormat/>
    <w:uiPriority w:val="0"/>
  </w:style>
  <w:style w:type="character" w:customStyle="1" w:styleId="15">
    <w:name w:val="页脚 Char"/>
    <w:link w:val="8"/>
    <w:qFormat/>
    <w:uiPriority w:val="0"/>
    <w:rPr>
      <w:rFonts w:eastAsia="宋体"/>
      <w:kern w:val="2"/>
      <w:sz w:val="18"/>
      <w:szCs w:val="18"/>
      <w:lang w:val="en-US" w:eastAsia="zh-CN" w:bidi="ar-SA"/>
    </w:rPr>
  </w:style>
  <w:style w:type="character" w:customStyle="1" w:styleId="16">
    <w:name w:val="页眉 Char"/>
    <w:link w:val="9"/>
    <w:qFormat/>
    <w:uiPriority w:val="0"/>
    <w:rPr>
      <w:rFonts w:ascii="Calibri" w:hAnsi="Calibri" w:eastAsia="宋体"/>
      <w:kern w:val="2"/>
      <w:sz w:val="18"/>
      <w:szCs w:val="18"/>
      <w:lang w:val="en-US" w:eastAsia="zh-CN" w:bidi="ar-SA"/>
    </w:rPr>
  </w:style>
  <w:style w:type="paragraph" w:customStyle="1" w:styleId="17">
    <w:name w:val="Char Char Char Char Char Char Char"/>
    <w:basedOn w:val="1"/>
    <w:qFormat/>
    <w:uiPriority w:val="0"/>
    <w:rPr>
      <w:rFonts w:ascii="Tahoma" w:hAnsi="Tahoma"/>
      <w:sz w:val="24"/>
      <w:szCs w:val="20"/>
    </w:rPr>
  </w:style>
  <w:style w:type="paragraph" w:customStyle="1" w:styleId="18">
    <w:name w:val="Char1 Char Char Char"/>
    <w:basedOn w:val="1"/>
    <w:qFormat/>
    <w:uiPriority w:val="0"/>
    <w:pPr>
      <w:widowControl/>
      <w:spacing w:after="160" w:line="240" w:lineRule="exact"/>
      <w:jc w:val="left"/>
    </w:pPr>
    <w:rPr>
      <w:szCs w:val="20"/>
    </w:rPr>
  </w:style>
  <w:style w:type="paragraph" w:customStyle="1" w:styleId="19">
    <w:name w:val="Char"/>
    <w:basedOn w:val="1"/>
    <w:qFormat/>
    <w:uiPriority w:val="0"/>
    <w:rPr>
      <w:rFonts w:ascii="Tahoma" w:hAnsi="Tahoma"/>
      <w:sz w:val="24"/>
      <w:szCs w:val="20"/>
    </w:rPr>
  </w:style>
  <w:style w:type="paragraph" w:customStyle="1" w:styleId="20">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pieChart>
        <c:varyColors val="1"/>
        <c:ser>
          <c:idx val="0"/>
          <c:order val="0"/>
          <c:tx>
            <c:strRef>
              <c:f>Sheet1!$B$1</c:f>
              <c:strCache>
                <c:ptCount val="1"/>
                <c:pt idx="0">
                  <c:v>收入</c:v>
                </c:pt>
              </c:strCache>
            </c:strRef>
          </c:tx>
          <c:explosion val="0"/>
          <c:dPt>
            <c:idx val="0"/>
            <c:bubble3D val="0"/>
          </c:dPt>
          <c:dPt>
            <c:idx val="1"/>
            <c:bubble3D val="0"/>
          </c:dPt>
          <c:dPt>
            <c:idx val="2"/>
            <c:bubble3D val="0"/>
          </c:dPt>
          <c:dPt>
            <c:idx val="3"/>
            <c:bubble3D val="0"/>
          </c:dPt>
          <c:dPt>
            <c:idx val="4"/>
            <c:bubble3D val="0"/>
          </c:dPt>
          <c:dPt>
            <c:idx val="5"/>
            <c:bubble3D val="0"/>
          </c:dPt>
          <c:dLbls>
            <c:dLbl>
              <c:idx val="3"/>
              <c:layout>
                <c:manualLayout>
                  <c:x val="-0.0417201621449759"/>
                  <c:y val="0.0195651441120276"/>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112159823816266"/>
                      <c:h val="0.0668121079901827"/>
                    </c:manualLayout>
                  </c15:layout>
                </c:ext>
              </c:extLst>
            </c:dLbl>
            <c:dLbl>
              <c:idx val="4"/>
              <c:layout>
                <c:manualLayout>
                  <c:x val="-0.0106923305755962"/>
                  <c:y val="-0.0075317136900908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0278266967366899"/>
                  <c:y val="0.010654444916194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Sheet1!$A$2:$A$7</c:f>
              <c:strCache>
                <c:ptCount val="6"/>
                <c:pt idx="0">
                  <c:v>财政拨款收入</c:v>
                </c:pt>
                <c:pt idx="1">
                  <c:v>上级补助收入</c:v>
                </c:pt>
                <c:pt idx="2">
                  <c:v>事业收入</c:v>
                </c:pt>
                <c:pt idx="3">
                  <c:v>经营收入</c:v>
                </c:pt>
                <c:pt idx="4">
                  <c:v>附属单位上缴</c:v>
                </c:pt>
                <c:pt idx="5">
                  <c:v>其他收入</c:v>
                </c:pt>
              </c:strCache>
            </c:strRef>
          </c:cat>
          <c:val>
            <c:numRef>
              <c:f>Sheet1!$B$2:$B$7</c:f>
              <c:numCache>
                <c:formatCode>General</c:formatCode>
                <c:ptCount val="6"/>
                <c:pt idx="0">
                  <c:v>51408.33</c:v>
                </c:pt>
                <c:pt idx="1">
                  <c:v>0</c:v>
                </c:pt>
                <c:pt idx="2">
                  <c:v>0</c:v>
                </c:pt>
                <c:pt idx="3">
                  <c:v>0</c:v>
                </c:pt>
                <c:pt idx="4">
                  <c:v>0</c:v>
                </c:pt>
                <c:pt idx="5">
                  <c:v>6200.53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pieChart>
        <c:varyColors val="1"/>
        <c:ser>
          <c:idx val="0"/>
          <c:order val="0"/>
          <c:tx>
            <c:strRef>
              <c:f>Sheet0!$B$1</c:f>
              <c:strCache>
                <c:ptCount val="1"/>
                <c:pt idx="0">
                  <c:v>支出</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Lbls>
            <c:dLbl>
              <c:idx val="2"/>
              <c:layout>
                <c:manualLayout>
                  <c:x val="-0.03900372940115"/>
                  <c:y val="0.032827143610787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389887693586102"/>
                  <c:y val="0.010511229510062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Sheet0!$A$2:$A$6</c:f>
              <c:strCache>
                <c:ptCount val="5"/>
                <c:pt idx="0">
                  <c:v>基本支出</c:v>
                </c:pt>
                <c:pt idx="1">
                  <c:v>项目支出</c:v>
                </c:pt>
                <c:pt idx="2">
                  <c:v>上缴上级支出</c:v>
                </c:pt>
                <c:pt idx="3">
                  <c:v>经营支出</c:v>
                </c:pt>
                <c:pt idx="4">
                  <c:v>对附属单位补助支出</c:v>
                </c:pt>
              </c:strCache>
            </c:strRef>
          </c:cat>
          <c:val>
            <c:numRef>
              <c:f>Sheet0!$B$2:$B$6</c:f>
              <c:numCache>
                <c:formatCode>General</c:formatCode>
                <c:ptCount val="5"/>
                <c:pt idx="0">
                  <c:v>4432.53</c:v>
                </c:pt>
                <c:pt idx="1">
                  <c:v>52373.11</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4"/>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gap"/>
    <c:showDLblsOverMax val="0"/>
  </c:chart>
  <c:spPr>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264</Words>
  <Characters>282</Characters>
  <Lines>44</Lines>
  <Paragraphs>12</Paragraphs>
  <ScaleCrop>false</ScaleCrop>
  <LinksUpToDate>false</LinksUpToDate>
  <CharactersWithSpaces>294</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2017-07-11T15:16:00Z</dcterms:created>
  <dc:creator>常程</dc:creator>
  <cp:lastModifiedBy>Admin</cp:lastModifiedBy>
  <cp:lastPrinted>2020-08-07T11:39:00Z</cp:lastPrinted>
  <dcterms:modified xsi:type="dcterms:W3CDTF">2026-09-01T09:45:06Z</dcterms:modified>
  <dc:title>北京市财政局关于做好向市人大常委会报送2015年度市级部门决算（草案）</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ICV">
    <vt:lpwstr>435078ACFECC4A5A8A519EF4C3681114_13</vt:lpwstr>
  </property>
  <property fmtid="{D5CDD505-2E9C-101B-9397-08002B2CF9AE}" pid="4" name="KSOTemplateDocerSaveRecord">
    <vt:lpwstr>eyJoZGlkIjoiYjk5ODM0YmMxOWJiYWQyNDU4MGIzYWRmYTA0ZmI5NDciLCJ1c2VySWQiOiI0NTc0NDMyMDQifQ==</vt:lpwstr>
  </property>
</Properties>
</file>