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北京市密云区大城子镇人民政府</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2024年度部门决算草案</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hint="eastAsia" w:ascii="黑体" w:hAnsi="黑体" w:eastAsia="黑体" w:cs="黑体"/>
          <w:b/>
          <w:bCs/>
          <w:kern w:val="0"/>
          <w:sz w:val="44"/>
          <w:szCs w:val="36"/>
        </w:rPr>
      </w:pPr>
      <w:r>
        <w:rPr>
          <w:rFonts w:hint="eastAsia" w:ascii="黑体" w:hAnsi="黑体" w:eastAsia="黑体" w:cs="黑体"/>
          <w:b/>
          <w:bCs/>
          <w:kern w:val="0"/>
          <w:sz w:val="44"/>
          <w:szCs w:val="36"/>
        </w:rPr>
        <w:t>目    录</w:t>
      </w:r>
    </w:p>
    <w:p>
      <w:pPr>
        <w:keepNext w:val="0"/>
        <w:keepLines w:val="0"/>
        <w:pageBreakBefore w:val="0"/>
        <w:widowControl w:val="0"/>
        <w:kinsoku/>
        <w:wordWrap/>
        <w:overflowPunct/>
        <w:topLinePunct w:val="0"/>
        <w:autoSpaceDE/>
        <w:autoSpaceDN/>
        <w:bidi w:val="0"/>
        <w:adjustRightInd/>
        <w:snapToGrid/>
        <w:spacing w:line="560" w:lineRule="exact"/>
        <w:ind w:firstLine="645"/>
        <w:jc w:val="center"/>
        <w:textAlignment w:val="auto"/>
        <w:rPr>
          <w:rFonts w:ascii="宋体" w:hAnsi="宋体" w:cs="宋体"/>
          <w:b/>
          <w:bCs/>
          <w:kern w:val="0"/>
          <w:sz w:val="36"/>
          <w:szCs w:val="36"/>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1600" w:firstLineChars="400"/>
        <w:jc w:val="left"/>
        <w:textAlignment w:val="auto"/>
        <w:rPr>
          <w:rFonts w:hint="eastAsia" w:ascii="黑体" w:hAnsi="黑体" w:eastAsia="黑体" w:cs="黑体"/>
          <w:bCs/>
          <w:spacing w:val="40"/>
          <w:kern w:val="0"/>
          <w:sz w:val="32"/>
          <w:szCs w:val="32"/>
        </w:rPr>
      </w:pPr>
      <w:r>
        <w:rPr>
          <w:rFonts w:hint="eastAsia" w:ascii="黑体" w:hAnsi="黑体" w:eastAsia="黑体" w:cs="黑体"/>
          <w:bCs/>
          <w:spacing w:val="40"/>
          <w:kern w:val="0"/>
          <w:sz w:val="32"/>
          <w:szCs w:val="32"/>
        </w:rPr>
        <w:t>第一部分 2024年度部门决算报表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2400" w:firstLineChars="6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1600" w:firstLineChars="400"/>
        <w:jc w:val="left"/>
        <w:textAlignment w:val="auto"/>
        <w:rPr>
          <w:rFonts w:hint="eastAsia" w:ascii="黑体" w:hAnsi="黑体" w:eastAsia="黑体" w:cs="黑体"/>
          <w:bCs/>
          <w:spacing w:val="40"/>
          <w:kern w:val="0"/>
          <w:sz w:val="32"/>
          <w:szCs w:val="32"/>
        </w:rPr>
      </w:pPr>
      <w:r>
        <w:rPr>
          <w:rFonts w:hint="eastAsia" w:ascii="黑体" w:hAnsi="黑体" w:eastAsia="黑体" w:cs="黑体"/>
          <w:bCs/>
          <w:spacing w:val="40"/>
          <w:kern w:val="0"/>
          <w:sz w:val="32"/>
          <w:szCs w:val="32"/>
        </w:rPr>
        <w:t xml:space="preserve">第二部分 </w:t>
      </w:r>
      <w:r>
        <w:rPr>
          <w:rFonts w:hint="eastAsia" w:ascii="黑体" w:hAnsi="黑体" w:eastAsia="黑体" w:cs="黑体"/>
          <w:spacing w:val="40"/>
          <w:sz w:val="32"/>
          <w:szCs w:val="32"/>
        </w:rPr>
        <w:t>2024年度部门决算说明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1600" w:firstLineChars="400"/>
        <w:jc w:val="left"/>
        <w:textAlignment w:val="auto"/>
        <w:rPr>
          <w:rFonts w:hint="eastAsia" w:ascii="黑体" w:hAnsi="黑体" w:eastAsia="黑体" w:cs="黑体"/>
          <w:spacing w:val="40"/>
          <w:kern w:val="0"/>
          <w:sz w:val="32"/>
          <w:szCs w:val="32"/>
        </w:rPr>
      </w:pPr>
      <w:r>
        <w:rPr>
          <w:rFonts w:hint="eastAsia" w:ascii="黑体" w:hAnsi="黑体" w:eastAsia="黑体" w:cs="黑体"/>
          <w:bCs/>
          <w:spacing w:val="40"/>
          <w:kern w:val="0"/>
          <w:sz w:val="32"/>
          <w:szCs w:val="32"/>
        </w:rPr>
        <w:t xml:space="preserve">第三部分 </w:t>
      </w:r>
      <w:r>
        <w:rPr>
          <w:rFonts w:hint="eastAsia" w:ascii="黑体" w:hAnsi="黑体" w:eastAsia="黑体" w:cs="黑体"/>
          <w:spacing w:val="40"/>
          <w:sz w:val="32"/>
          <w:szCs w:val="32"/>
        </w:rPr>
        <w:t>2024年度</w:t>
      </w:r>
      <w:r>
        <w:rPr>
          <w:rFonts w:hint="eastAsia" w:ascii="黑体" w:hAnsi="黑体" w:eastAsia="黑体" w:cs="黑体"/>
          <w:spacing w:val="40"/>
          <w:kern w:val="0"/>
          <w:sz w:val="32"/>
          <w:szCs w:val="32"/>
        </w:rPr>
        <w:t>其他重要事项的情况说明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1600" w:firstLineChars="400"/>
        <w:jc w:val="left"/>
        <w:textAlignment w:val="auto"/>
        <w:rPr>
          <w:rFonts w:hint="eastAsia" w:ascii="黑体" w:hAnsi="黑体" w:eastAsia="黑体" w:cs="黑体"/>
          <w:spacing w:val="40"/>
          <w:kern w:val="0"/>
          <w:sz w:val="32"/>
          <w:szCs w:val="32"/>
        </w:rPr>
      </w:pPr>
      <w:r>
        <w:rPr>
          <w:rFonts w:hint="eastAsia" w:ascii="黑体" w:hAnsi="黑体" w:eastAsia="黑体" w:cs="黑体"/>
          <w:spacing w:val="40"/>
          <w:kern w:val="0"/>
          <w:sz w:val="32"/>
          <w:szCs w:val="32"/>
        </w:rPr>
        <w:t>第四部分 2024年度部门绩效评价情况</w:t>
      </w: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黑体" w:hAnsi="黑体" w:eastAsia="黑体" w:cs="黑体"/>
          <w:b/>
          <w:bCs/>
          <w:spacing w:val="40"/>
          <w:kern w:val="0"/>
          <w:sz w:val="32"/>
          <w:szCs w:val="32"/>
        </w:rPr>
      </w:pPr>
      <w:r>
        <w:rPr>
          <w:rFonts w:hint="eastAsia" w:ascii="黑体" w:hAnsi="黑体" w:eastAsia="黑体" w:cs="黑体"/>
          <w:b/>
          <w:bCs/>
          <w:spacing w:val="40"/>
          <w:kern w:val="0"/>
          <w:sz w:val="32"/>
          <w:szCs w:val="32"/>
        </w:rPr>
        <w:t>第一部分 2024年度部门决算报表</w:t>
      </w: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黑体" w:hAnsi="黑体" w:eastAsia="黑体" w:cs="黑体"/>
          <w:bCs/>
          <w:spacing w:val="40"/>
          <w:kern w:val="0"/>
          <w:sz w:val="32"/>
          <w:szCs w:val="32"/>
        </w:rPr>
      </w:pPr>
      <w:r>
        <w:rPr>
          <w:rFonts w:hint="eastAsia" w:ascii="黑体" w:hAnsi="黑体" w:eastAsia="黑体" w:cs="黑体"/>
          <w:bCs/>
          <w:spacing w:val="40"/>
          <w:kern w:val="0"/>
          <w:sz w:val="32"/>
          <w:szCs w:val="32"/>
        </w:rPr>
        <w:t>一、收入支出决算总表</w:t>
      </w:r>
    </w:p>
    <w:tbl>
      <w:tblPr>
        <w:tblStyle w:val="10"/>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47"/>
        <w:gridCol w:w="1996"/>
        <w:gridCol w:w="1696"/>
        <w:gridCol w:w="3576"/>
        <w:gridCol w:w="1641"/>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27" w:type="pct"/>
            <w:gridSpan w:val="5"/>
            <w:tcBorders>
              <w:top w:val="nil"/>
              <w:left w:val="nil"/>
              <w:bottom w:val="nil"/>
              <w:right w:val="nil"/>
            </w:tcBorders>
            <w:shd w:val="clear" w:color="auto" w:fill="auto"/>
            <w:noWrap/>
            <w:vAlign w:val="bottom"/>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7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718"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w:t>
            </w:r>
          </w:p>
        </w:tc>
        <w:tc>
          <w:tcPr>
            <w:tcW w:w="2281"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69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项目（按功能分类）</w:t>
            </w:r>
          </w:p>
        </w:tc>
        <w:tc>
          <w:tcPr>
            <w:tcW w:w="56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7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12325.784632</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2824.213269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2438.050898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2729.812836</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145.270000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301.855888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190.729800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512.062639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117.754309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412.024466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304.250000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2234.747892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1813.817800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8359.673693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15055.597468</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17343.571921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2686.950076</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398.975623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3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17742.547544</w:t>
            </w:r>
          </w:p>
        </w:tc>
        <w:tc>
          <w:tcPr>
            <w:tcW w:w="12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17742.547544</w:t>
            </w:r>
          </w:p>
        </w:tc>
      </w:tr>
    </w:tbl>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4"/>
        <w:gridCol w:w="577"/>
        <w:gridCol w:w="628"/>
        <w:gridCol w:w="3388"/>
        <w:gridCol w:w="1352"/>
        <w:gridCol w:w="1411"/>
        <w:gridCol w:w="1392"/>
        <w:gridCol w:w="1093"/>
        <w:gridCol w:w="1114"/>
        <w:gridCol w:w="1113"/>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80" w:type="pct"/>
            <w:gridSpan w:val="10"/>
            <w:tcBorders>
              <w:top w:val="nil"/>
              <w:left w:val="nil"/>
              <w:bottom w:val="nil"/>
              <w:right w:val="nil"/>
            </w:tcBorders>
            <w:shd w:val="clear" w:color="auto" w:fill="auto"/>
            <w:noWrap/>
            <w:vAlign w:val="bottom"/>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1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990"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经营收入</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支出功能分类科目编码</w:t>
            </w:r>
          </w:p>
        </w:tc>
        <w:tc>
          <w:tcPr>
            <w:tcW w:w="117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46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8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38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9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19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21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117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15055.597468</w:t>
            </w:r>
          </w:p>
        </w:tc>
        <w:tc>
          <w:tcPr>
            <w:tcW w:w="48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15055.597468</w:t>
            </w:r>
          </w:p>
        </w:tc>
        <w:tc>
          <w:tcPr>
            <w:tcW w:w="48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2434.214598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2434.214598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专项普查活动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3.636100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3.636100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统计抽样调查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其他纪检监察事务支出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民主党派及工商联事务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其他民主党派及工商联事务支出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其他社会工作事务支出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其他公安支出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2070206</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历史名城与古迹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475.114514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475.114514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168.243478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168.243478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168.243478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168.243478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公益性岗位补贴</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2119.253892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2119.253892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其他城乡社区管理事务支出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1570.269836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1570.269836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2120804</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2120814</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6332.306432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6332.306432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4362.137438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4362.137438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2130153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耕地建设与利用</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2064.097666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2064.097666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629.442098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629.442098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森林资源培育</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604.980252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604.980252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森林生态效益补偿</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其他林业和草原支出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39.280000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39.280000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水资源节约管理与保护</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大中型水库移民后期扶持基金支出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移民补助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基础设施建设和经济发展</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支持中小企业发展和管理支出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中小企业发展专项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其他支持中小企业发展和管理支出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2240704</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自然灾害灾后重建补助</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1"/>
        <w:gridCol w:w="636"/>
        <w:gridCol w:w="715"/>
        <w:gridCol w:w="3400"/>
        <w:gridCol w:w="1491"/>
        <w:gridCol w:w="1252"/>
        <w:gridCol w:w="1352"/>
        <w:gridCol w:w="1352"/>
        <w:gridCol w:w="1074"/>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442" w:type="pct"/>
            <w:gridSpan w:val="9"/>
            <w:tcBorders>
              <w:top w:val="nil"/>
              <w:left w:val="nil"/>
              <w:bottom w:val="nil"/>
              <w:right w:val="nil"/>
            </w:tcBorders>
            <w:shd w:val="clear" w:color="auto" w:fill="auto"/>
            <w:noWrap/>
            <w:vAlign w:val="bottom"/>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55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183"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经营支出</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支出功能分类科目编码</w:t>
            </w:r>
          </w:p>
        </w:tc>
        <w:tc>
          <w:tcPr>
            <w:tcW w:w="117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117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51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6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53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22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117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17343.571921</w:t>
            </w:r>
          </w:p>
        </w:tc>
        <w:tc>
          <w:tcPr>
            <w:tcW w:w="43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2468.510034</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14875.061887</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2438.050898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46.844400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7.832400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7.832400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专项普查活动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7.472400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7.472400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2010508</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统计抽样调查</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其他纪检监察事务支出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民主党派及工商联事务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其他民主党派及工商联事务支出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其他社会工作事务支出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其他公安支出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301.855888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301.855888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211.015884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211.015884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188.415884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188.415884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2070206</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历史名城与古迹</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4.295150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4.295150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其他体育支出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4.295150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4.295150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512.062639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434.759103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2080705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公益性岗位补贴</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412.024466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412.024466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污染防治</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其他节能环保支出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15.964656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15.964656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2119999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其他节能环保支出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15.964656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15.964656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2234.747892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2234.747892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其他城乡社区管理事务支出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2120804</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2120814</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8359.673693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8359.673693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4613.837199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4613.837199</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2130153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耕地建设与利用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2315.797427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2315.797427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682.992098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682.992098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森林资源培育</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658.530252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658.530252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森林生态效益补偿</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其他林业和草原支出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960.084900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960.084900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水资源节约管理与保护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921.214900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921.214900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2130706</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对村集体经济组织的补助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大中型水库移民后期扶持基金支出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移民补助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基础设施建设和经济发展</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942.808496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942.808496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942.808496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942.808496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支持中小企业发展和管理支出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2150805</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中小企业发展专项</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2150899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其他支持中小企业发展和管理支出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2240109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2240704</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自然灾害灾后重建补助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1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5"/>
        <w:gridCol w:w="1212"/>
        <w:gridCol w:w="1332"/>
        <w:gridCol w:w="2215"/>
        <w:gridCol w:w="1330"/>
        <w:gridCol w:w="1284"/>
        <w:gridCol w:w="1035"/>
        <w:gridCol w:w="1233"/>
        <w:gridCol w:w="974"/>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80" w:type="pct"/>
            <w:gridSpan w:val="9"/>
            <w:tcBorders>
              <w:top w:val="nil"/>
              <w:left w:val="nil"/>
              <w:bottom w:val="nil"/>
              <w:right w:val="nil"/>
            </w:tcBorders>
            <w:shd w:val="clear" w:color="auto" w:fill="auto"/>
            <w:noWrap/>
            <w:vAlign w:val="bottom"/>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1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784"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w:t>
            </w:r>
          </w:p>
        </w:tc>
        <w:tc>
          <w:tcPr>
            <w:tcW w:w="3215" w:type="pct"/>
            <w:gridSpan w:val="7"/>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项目（按功能分类）</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一般公共预算财政拨款</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政府性基金预算财政拨款</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国有资本经营预算财政拨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4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35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2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33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1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12325.784632</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2824.213269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2438.050898</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2729.812836</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145.270000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190.729800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512.062639</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117.754309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304.250000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548.984056</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1813.817800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6168.146332</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15055.597468</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13359.359957</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2845.306836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1149.069325</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1033.575325</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16204.666793</w:t>
            </w:r>
          </w:p>
        </w:tc>
        <w:tc>
          <w:tcPr>
            <w:tcW w:w="7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5511.877987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13359.359957</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2845.306836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numPr>
          <w:ilvl w:val="0"/>
          <w:numId w:val="1"/>
        </w:numPr>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一般公共预算财政拨款收入支出决算表</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397"/>
        <w:gridCol w:w="397"/>
        <w:gridCol w:w="3539"/>
        <w:gridCol w:w="1214"/>
        <w:gridCol w:w="1305"/>
        <w:gridCol w:w="1305"/>
        <w:gridCol w:w="1214"/>
        <w:gridCol w:w="1305"/>
        <w:gridCol w:w="1121"/>
        <w:gridCol w:w="1038"/>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94" w:type="pct"/>
            <w:gridSpan w:val="10"/>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部门（单位）名称：北京市密云区大城子镇人民政府预算（本级）</w:t>
            </w:r>
          </w:p>
        </w:tc>
        <w:tc>
          <w:tcPr>
            <w:tcW w:w="37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00"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年初结转和结余</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1254"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年末结转结余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支出功能分类科目编码</w:t>
            </w:r>
          </w:p>
        </w:tc>
        <w:tc>
          <w:tcPr>
            <w:tcW w:w="127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0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7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基本支出结转</w:t>
            </w:r>
          </w:p>
        </w:tc>
        <w:tc>
          <w:tcPr>
            <w:tcW w:w="43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127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43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1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14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127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1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1033.575325</w:t>
            </w:r>
          </w:p>
        </w:tc>
        <w:tc>
          <w:tcPr>
            <w:tcW w:w="41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12325.784632</w:t>
            </w:r>
          </w:p>
        </w:tc>
        <w:tc>
          <w:tcPr>
            <w:tcW w:w="41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13359.359957</w:t>
            </w:r>
          </w:p>
        </w:tc>
        <w:tc>
          <w:tcPr>
            <w:tcW w:w="41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2468.510034</w:t>
            </w:r>
          </w:p>
        </w:tc>
        <w:tc>
          <w:tcPr>
            <w:tcW w:w="41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10890.849923</w:t>
            </w:r>
          </w:p>
        </w:tc>
        <w:tc>
          <w:tcPr>
            <w:tcW w:w="40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3.836300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2434.214598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2438.050898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46.844400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3.836300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7.832400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7.832400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专项普查活动</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3.836300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3.636100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7.472400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7.472400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2010508</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统计抽样调查</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其他纪检监察事务支出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民主党派及工商联事务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其他民主党派及工商联事务支出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其他社会工作事务支出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其他公安支出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2070206</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历史名城与古迹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36.948125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475.114514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512.062639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434.759103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24.708125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168.243478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24.708125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168.243478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就业补助</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2080705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公益性岗位补贴</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污染防治</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548.984056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548.984056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548.984056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其他城乡社区管理事务支出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992.790900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5175.355432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6168.146332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6168.146332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24.372000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4362.137438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4386.509438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4386.509438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2130153</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耕地建设与利用</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24.372000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2064.097666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2088.469666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2088.469666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53.550000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629.442098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682.992098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682.992098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森林资源培育</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53.550000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604.980252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658.530252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658.530252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森林生态效益补偿</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其他林业和草原支出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914.868900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39.280000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954.148900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954.148900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水资源节约管理与保护</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其他水利支出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914.868900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915.278900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915.278900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支持中小企业发展和管理支出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2150805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中小企业发展专项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2150899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其他支持中小企业发展和管理支出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应急管理事务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2240109</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2240704</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自然灾害灾后重建补助</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pStyle w:val="2"/>
      </w:pPr>
    </w:p>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tbl>
      <w:tblPr>
        <w:tblStyle w:val="1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442"/>
        <w:gridCol w:w="583"/>
        <w:gridCol w:w="3276"/>
        <w:gridCol w:w="3753"/>
        <w:gridCol w:w="1583"/>
        <w:gridCol w:w="1845"/>
        <w:gridCol w:w="1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346" w:type="pct"/>
            <w:gridSpan w:val="7"/>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65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846"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30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支出功能分类科目编码</w:t>
            </w:r>
          </w:p>
        </w:tc>
        <w:tc>
          <w:tcPr>
            <w:tcW w:w="111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30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111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13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55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5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6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15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20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111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55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13359.359957</w:t>
            </w:r>
          </w:p>
        </w:tc>
        <w:tc>
          <w:tcPr>
            <w:tcW w:w="64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2468.510034</w:t>
            </w:r>
          </w:p>
        </w:tc>
        <w:tc>
          <w:tcPr>
            <w:tcW w:w="65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10890.849923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2438.050898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46.844400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其他人大事务支出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2391.206498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1183.089327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2010350</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1208.117171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7.832400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专项普查活动</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7.472400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2010508</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统计抽样调查</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其他纪检监察事务支出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民主党派及工商联事务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其他民主党派及工商联事务支出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2013999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其他社会工作事务支出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其他公安支出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126.946923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2070206</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历史名城与古迹</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86.544854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512.062639</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434.759103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其他人力资源和社会保障管理事务支出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34.447672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42.855864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就业补助</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2080705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公益性岗位补贴</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污染防治</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2110301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396.059810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548.984056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548.984056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其他城乡社区管理事务支出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2120201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城乡社区规划与管理</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34.591700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213.186156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6168.146332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6168.146332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4386.509438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4386.509438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390.181972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1741.777800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2130153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耕地建设与利用</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其他农业农村支出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2088.469666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2088.469666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682.992098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682.992098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森林资源培育</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658.530252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658.530252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2130209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森林生态效益补偿</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其他林业和草原支出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954.148900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954.148900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2130311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水资源节约管理与保护</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2130399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其他水利支出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915.278900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915.278900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2139999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其他农林水支出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144.495896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支持中小企业发展和管理支出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1787.098485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2150805</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中小企业发展专项</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1681.255676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2150899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其他支持中小企业发展和管理支出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105.842809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1284.503960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应急管理事务</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2240109</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2240704</w:t>
            </w:r>
          </w:p>
        </w:tc>
        <w:tc>
          <w:tcPr>
            <w:tcW w:w="11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自然灾害灾后重建补助</w:t>
            </w:r>
          </w:p>
        </w:tc>
        <w:tc>
          <w:tcPr>
            <w:tcW w:w="1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北京市密云区大城子镇人民政府预算（本级）</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1274.999960</w:t>
            </w: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tbl>
      <w:tblPr>
        <w:tblStyle w:val="1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0"/>
        <w:gridCol w:w="1531"/>
        <w:gridCol w:w="2609"/>
        <w:gridCol w:w="1989"/>
        <w:gridCol w:w="3598"/>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43" w:type="pct"/>
            <w:gridSpan w:val="5"/>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56"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53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69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5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2189.903313</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201.295685</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367.170400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474.851116</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307.693032</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714.304165</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2.862000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81.461568</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71.588176</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32.357500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18.765656</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154.069200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77.311036</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77.303536</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资本金注入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政府投资基金股权投资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费用补贴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利息补贴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19.096869</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其他对企业补助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38.220000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19.801316</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37.388000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0.007500</w:t>
            </w: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国内债务发行费用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国外债务发行费用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2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2267.214349</w:t>
            </w:r>
          </w:p>
        </w:tc>
        <w:tc>
          <w:tcPr>
            <w:tcW w:w="2842"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201.295685</w:t>
            </w: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397"/>
        <w:gridCol w:w="397"/>
        <w:gridCol w:w="3096"/>
        <w:gridCol w:w="1265"/>
        <w:gridCol w:w="1302"/>
        <w:gridCol w:w="1256"/>
        <w:gridCol w:w="1256"/>
        <w:gridCol w:w="1274"/>
        <w:gridCol w:w="1259"/>
        <w:gridCol w:w="1265"/>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58" w:type="pct"/>
            <w:gridSpan w:val="11"/>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4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450"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年初结转和结余</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1326"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w:t>
            </w:r>
          </w:p>
        </w:tc>
        <w:tc>
          <w:tcPr>
            <w:tcW w:w="1323"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年末结转结余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支出功能分类科目编码</w:t>
            </w:r>
          </w:p>
        </w:tc>
        <w:tc>
          <w:tcPr>
            <w:tcW w:w="10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44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4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基本支出结转</w:t>
            </w:r>
          </w:p>
        </w:tc>
        <w:tc>
          <w:tcPr>
            <w:tcW w:w="4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10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44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3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13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13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104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4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115.494000</w:t>
            </w:r>
          </w:p>
        </w:tc>
        <w:tc>
          <w:tcPr>
            <w:tcW w:w="45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2729.812836</w:t>
            </w:r>
          </w:p>
        </w:tc>
        <w:tc>
          <w:tcPr>
            <w:tcW w:w="4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2845.306836</w:t>
            </w:r>
          </w:p>
        </w:tc>
        <w:tc>
          <w:tcPr>
            <w:tcW w:w="4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2845.306836</w:t>
            </w:r>
          </w:p>
        </w:tc>
        <w:tc>
          <w:tcPr>
            <w:tcW w:w="44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1570.269836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1570.269836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1685.763836</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115.494000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218.689567</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2120804</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1279.795534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2120814</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农业生产发展支出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71.784735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大中型水库移民后期扶持基金支出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1156.951000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2137201</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移民补助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133.507600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2137202</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基础设施建设和经济发展</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1023.443400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jc w:val="left"/>
        <w:textAlignment w:val="auto"/>
        <w:rPr>
          <w:rFonts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tbl>
      <w:tblPr>
        <w:tblStyle w:val="10"/>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9"/>
        <w:gridCol w:w="1914"/>
        <w:gridCol w:w="2903"/>
        <w:gridCol w:w="1752"/>
        <w:gridCol w:w="3176"/>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43" w:type="pct"/>
            <w:gridSpan w:val="5"/>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56"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66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60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5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资本金注入</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政府投资基金股权投资</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费用补贴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利息补贴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其他对企业补助</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国内债务发行费用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国外债务发行费用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1101" w:type="pct"/>
            <w:tcBorders>
              <w:top w:val="single" w:color="000000" w:sz="4" w:space="0"/>
              <w:left w:val="single" w:color="000000" w:sz="4" w:space="0"/>
              <w:bottom w:val="single" w:color="000000" w:sz="4" w:space="0"/>
              <w:right w:val="single" w:color="000000" w:sz="4" w:space="0"/>
            </w:tcBorders>
            <w:shd w:val="clear" w:color="auto" w:fill="C0C0C0"/>
            <w:vAlign w:val="center"/>
          </w:tcPr>
          <w:p>
            <w:pP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2717"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880"/>
        <w:gridCol w:w="883"/>
        <w:gridCol w:w="4907"/>
        <w:gridCol w:w="2292"/>
        <w:gridCol w:w="2295"/>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4205"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79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616"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2383"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16"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支出功能分类科目编码</w:t>
            </w:r>
          </w:p>
        </w:tc>
        <w:tc>
          <w:tcPr>
            <w:tcW w:w="170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16"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170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3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30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170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jc w:val="right"/>
              <w:rPr>
                <w:rFonts w:hint="eastAsia" w:ascii="宋体" w:hAnsi="宋体" w:eastAsia="宋体" w:cs="宋体"/>
                <w:b/>
                <w:bCs/>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jc w:val="right"/>
              <w:rPr>
                <w:rFonts w:hint="eastAsia" w:ascii="宋体" w:hAnsi="宋体" w:eastAsia="宋体" w:cs="宋体"/>
                <w:b/>
                <w:bCs/>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C0C0C0"/>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9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tbl>
      <w:tblPr>
        <w:tblStyle w:val="10"/>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1676"/>
        <w:gridCol w:w="1887"/>
        <w:gridCol w:w="1284"/>
        <w:gridCol w:w="1717"/>
        <w:gridCol w:w="1365"/>
        <w:gridCol w:w="1319"/>
        <w:gridCol w:w="1470"/>
        <w:gridCol w:w="1069"/>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562" w:type="pct"/>
            <w:gridSpan w:val="9"/>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43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“三公”经费财政拨款合计</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因公出国（境）费用</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c>
          <w:tcPr>
            <w:tcW w:w="2847" w:type="pct"/>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2251" w:type="pct"/>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5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公务用车加油</w:t>
            </w:r>
          </w:p>
        </w:tc>
        <w:tc>
          <w:tcPr>
            <w:tcW w:w="51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公务用车维修</w:t>
            </w:r>
          </w:p>
        </w:tc>
        <w:tc>
          <w:tcPr>
            <w:tcW w:w="371"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公务用车保险</w:t>
            </w:r>
          </w:p>
        </w:tc>
        <w:tc>
          <w:tcPr>
            <w:tcW w:w="43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2024年预算</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26.104400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26.104400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7.104400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2024年决算</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19.801316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19.801316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5.220880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2.580436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6"/>
        <w:gridCol w:w="988"/>
        <w:gridCol w:w="989"/>
        <w:gridCol w:w="998"/>
        <w:gridCol w:w="6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3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637" w:type="pct"/>
            <w:tcBorders>
              <w:top w:val="nil"/>
              <w:left w:val="nil"/>
              <w:bottom w:val="nil"/>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637" w:type="pct"/>
            <w:tcBorders>
              <w:top w:val="nil"/>
              <w:left w:val="nil"/>
              <w:bottom w:val="nil"/>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637" w:type="pct"/>
            <w:tcBorders>
              <w:top w:val="nil"/>
              <w:left w:val="nil"/>
              <w:bottom w:val="nil"/>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244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244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政府采购支出信息</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（一）政府采购支出合计</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2091.843290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1．政府采购货物支出</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2．政府采购工程支出</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2077.820886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3．政府采购服务支出</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14.022404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（二）政府采购授予中小企业合同金额</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其中：授予小微企业合同金额</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800" w:firstLineChars="200"/>
        <w:jc w:val="left"/>
        <w:textAlignment w:val="auto"/>
        <w:rPr>
          <w:rFonts w:hint="eastAsia" w:ascii="仿宋_GB2312" w:hAnsi="仿宋" w:eastAsia="仿宋_GB2312" w:cs="宋体"/>
          <w:bCs/>
          <w:spacing w:val="40"/>
          <w:kern w:val="0"/>
          <w:sz w:val="32"/>
          <w:szCs w:val="32"/>
        </w:rPr>
      </w:pPr>
    </w:p>
    <w:p>
      <w:pPr>
        <w:keepNext w:val="0"/>
        <w:keepLines w:val="0"/>
        <w:pageBreakBefore w:val="0"/>
        <w:widowControl w:val="0"/>
        <w:tabs>
          <w:tab w:val="center" w:pos="6979"/>
        </w:tabs>
        <w:kinsoku/>
        <w:wordWrap/>
        <w:overflowPunct/>
        <w:topLinePunct w:val="0"/>
        <w:autoSpaceDE/>
        <w:autoSpaceDN/>
        <w:bidi w:val="0"/>
        <w:adjustRightInd/>
        <w:snapToGrid/>
        <w:spacing w:after="157" w:afterLines="50" w:line="560" w:lineRule="exact"/>
        <w:ind w:firstLine="800" w:firstLineChars="200"/>
        <w:jc w:val="left"/>
        <w:textAlignment w:val="auto"/>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2"/>
        <w:gridCol w:w="4607"/>
        <w:gridCol w:w="7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425"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单位名称：北京市密云区大城子镇人民政府预算（本级）</w:t>
            </w:r>
          </w:p>
        </w:tc>
        <w:tc>
          <w:tcPr>
            <w:tcW w:w="257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一级目录</w:t>
            </w: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二级目录</w:t>
            </w:r>
          </w:p>
        </w:tc>
        <w:tc>
          <w:tcPr>
            <w:tcW w:w="257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425" w:type="pct"/>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95.221855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公共服务</w:t>
            </w: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生态保护和环境治理服务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社会治理服务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城乡维护服务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农业、林业和水利公共服务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公共信息与宣传服务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行业管理服务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技术性公共服务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政府履职辅助性服务</w:t>
            </w: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95.221855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课题研究和社会调查服务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会计审计服务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监督检查辅助服务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评审、评估和评价服务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机关工作人员培训服务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信息化服务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95.221855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18"/>
                <w:szCs w:val="18"/>
                <w:u w:val="none"/>
              </w:rPr>
            </w:pPr>
          </w:p>
        </w:tc>
        <w:tc>
          <w:tcPr>
            <w:tcW w:w="159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其他辅助性服务</w:t>
            </w:r>
          </w:p>
        </w:tc>
        <w:tc>
          <w:tcPr>
            <w:tcW w:w="2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0.000000</w:t>
            </w:r>
          </w:p>
        </w:tc>
      </w:tr>
    </w:tbl>
    <w:p>
      <w:pPr>
        <w:tabs>
          <w:tab w:val="center" w:pos="6979"/>
        </w:tabs>
        <w:spacing w:before="156" w:beforeLines="50" w:after="156" w:afterLines="50"/>
        <w:jc w:val="center"/>
        <w:rPr>
          <w:rFonts w:hint="eastAsia" w:ascii="黑体" w:hAnsi="黑体" w:eastAsia="黑体" w:cs="黑体"/>
          <w:b/>
          <w:bCs/>
          <w:spacing w:val="40"/>
          <w:kern w:val="0"/>
          <w:sz w:val="32"/>
          <w:szCs w:val="32"/>
        </w:rPr>
      </w:pPr>
    </w:p>
    <w:p>
      <w:pPr>
        <w:pStyle w:val="2"/>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rPr>
          <w:rFonts w:hint="eastAsia" w:ascii="黑体" w:hAnsi="黑体" w:eastAsia="黑体" w:cs="黑体"/>
          <w:b/>
          <w:bCs/>
          <w:spacing w:val="40"/>
          <w:kern w:val="0"/>
          <w:sz w:val="32"/>
          <w:szCs w:val="32"/>
        </w:rPr>
      </w:pPr>
    </w:p>
    <w:p>
      <w:pPr>
        <w:pStyle w:val="2"/>
        <w:rPr>
          <w:rFonts w:hint="eastAsia" w:ascii="黑体" w:hAnsi="黑体" w:eastAsia="黑体" w:cs="黑体"/>
          <w:b/>
          <w:bCs/>
          <w:spacing w:val="40"/>
          <w:kern w:val="0"/>
          <w:sz w:val="32"/>
          <w:szCs w:val="32"/>
        </w:rPr>
      </w:pPr>
    </w:p>
    <w:p>
      <w:pPr>
        <w:rPr>
          <w:rFonts w:hint="eastAsia"/>
        </w:rPr>
      </w:pPr>
    </w:p>
    <w:p>
      <w:pPr>
        <w:rPr>
          <w:rFonts w:hint="eastAsia" w:ascii="黑体" w:hAnsi="黑体" w:eastAsia="黑体" w:cs="黑体"/>
          <w:b/>
          <w:bCs/>
          <w:spacing w:val="40"/>
          <w:kern w:val="0"/>
          <w:sz w:val="32"/>
          <w:szCs w:val="32"/>
        </w:rPr>
      </w:pPr>
    </w:p>
    <w:p>
      <w:pPr>
        <w:tabs>
          <w:tab w:val="center" w:pos="6979"/>
        </w:tabs>
        <w:spacing w:before="156" w:beforeLines="50" w:after="156" w:afterLines="50"/>
        <w:jc w:val="center"/>
        <w:rPr>
          <w:rFonts w:hint="eastAsia" w:ascii="黑体" w:hAnsi="黑体" w:eastAsia="黑体" w:cs="黑体"/>
          <w:b/>
          <w:bCs/>
          <w:spacing w:val="40"/>
          <w:kern w:val="0"/>
          <w:sz w:val="32"/>
          <w:szCs w:val="32"/>
        </w:rPr>
      </w:pPr>
      <w:r>
        <w:rPr>
          <w:rFonts w:hint="eastAsia" w:ascii="黑体" w:hAnsi="黑体" w:eastAsia="黑体" w:cs="黑体"/>
          <w:b/>
          <w:bCs/>
          <w:spacing w:val="40"/>
          <w:kern w:val="0"/>
          <w:sz w:val="32"/>
          <w:szCs w:val="32"/>
        </w:rPr>
        <w:t>第二部分 2024年度部门决算说明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一、单位基本情况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（一）机构设置、职责</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单位内设行政科室8个，分别为：党群工作办公室、平安建设办公室（人民武装部、司法所）、城乡建设办公室、经济发展办公室（统计所）、农业农村办公室、综合保障办公室、纪委、综合行政执法队。事业科室5个，分别为：便民服务中心（退役军人服务站）、市民活动中心（党群活动中心、文化和旅游服务中心）、市民诉求处置中心（综治中心、城市管理指挥分中心）、生态环境保护中心、农业农村服务中心。</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党群工作办公室负责宣传和贯彻执行党的路线方针政策和党中央、市委、区委及本镇党员代表大会的决议；落实各级党组织选举相关工作；领导村党组织及其他隶属镇党委的党组织；加强党的基层组织建设，负责党员发展、管理、监督和服务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sz w:val="32"/>
          <w:szCs w:val="32"/>
          <w:lang w:val="en-US" w:eastAsia="zh-CN"/>
        </w:rPr>
        <w:t>平安建设办公室（人民武装部、司法所）负责</w:t>
      </w:r>
      <w:r>
        <w:rPr>
          <w:rFonts w:hint="eastAsia" w:ascii="仿宋_GB2312" w:hAnsi="仿宋_GB2312" w:eastAsia="仿宋_GB2312" w:cs="仿宋_GB2312"/>
          <w:b w:val="0"/>
          <w:bCs w:val="0"/>
          <w:color w:val="auto"/>
          <w:sz w:val="32"/>
          <w:szCs w:val="32"/>
          <w:highlight w:val="none"/>
          <w:u w:val="none"/>
        </w:rPr>
        <w:t>综治维稳，维护社会安全稳定，在重大会议、重大活动期间及其他重要时期保障辖区公共安全；检查、推动社会治安综合治理各项措施的落实；加强群防群治组织建设</w:t>
      </w:r>
      <w:r>
        <w:rPr>
          <w:rFonts w:hint="eastAsia" w:ascii="仿宋_GB2312" w:hAnsi="仿宋_GB2312" w:eastAsia="仿宋_GB2312" w:cs="仿宋_GB2312"/>
          <w:b w:val="0"/>
          <w:bCs w:val="0"/>
          <w:color w:val="auto"/>
          <w:sz w:val="32"/>
          <w:szCs w:val="32"/>
          <w:highlight w:val="none"/>
          <w:u w:val="none"/>
          <w:lang w:val="en-US" w:eastAsia="zh-CN"/>
        </w:rPr>
        <w:t>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sz w:val="32"/>
          <w:szCs w:val="32"/>
          <w:lang w:val="en-US" w:eastAsia="zh-CN"/>
        </w:rPr>
        <w:t>城乡建设办公室</w:t>
      </w:r>
      <w:r>
        <w:rPr>
          <w:rFonts w:hint="eastAsia" w:ascii="仿宋_GB2312" w:hAnsi="仿宋_GB2312" w:eastAsia="仿宋_GB2312" w:cs="仿宋_GB2312"/>
          <w:b w:val="0"/>
          <w:bCs w:val="0"/>
          <w:color w:val="auto"/>
          <w:sz w:val="32"/>
          <w:szCs w:val="32"/>
          <w:highlight w:val="none"/>
          <w:u w:val="none"/>
        </w:rPr>
        <w:t>负责本行政区域内的相关城乡规划；负责组织农村基础设施建设</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含美丽乡村建设</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；负责农村危房改造的组织和管理工作；按程序审批在规划农村地区，村民申请及使用宅基地进行村民住宅建设</w:t>
      </w:r>
      <w:r>
        <w:rPr>
          <w:rFonts w:hint="eastAsia" w:ascii="仿宋_GB2312" w:hAnsi="仿宋_GB2312" w:eastAsia="仿宋_GB2312" w:cs="仿宋_GB2312"/>
          <w:b w:val="0"/>
          <w:bCs w:val="0"/>
          <w:color w:val="auto"/>
          <w:sz w:val="32"/>
          <w:szCs w:val="32"/>
          <w:highlight w:val="none"/>
          <w:u w:val="none"/>
          <w:lang w:val="en-US" w:eastAsia="zh-CN"/>
        </w:rPr>
        <w:t>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济发展办公室（统计所）负责编制本级预算草案、预算的调整方案、本级决算草案；全面实施预算绩效管理，加强对本镇各种财政资金、集体经济收入等的监管；协助组织税收、内部审计、农村金融管理；财务、工资统发、代扣代缴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农业农村办公室</w:t>
      </w:r>
      <w:r>
        <w:rPr>
          <w:rFonts w:hint="eastAsia" w:ascii="仿宋_GB2312" w:hAnsi="仿宋_GB2312" w:eastAsia="仿宋_GB2312" w:cs="仿宋_GB2312"/>
          <w:b w:val="0"/>
          <w:bCs w:val="0"/>
          <w:color w:val="auto"/>
          <w:sz w:val="32"/>
          <w:szCs w:val="32"/>
          <w:highlight w:val="none"/>
        </w:rPr>
        <w:t>负责本行政区域内的基本农田保护管理工作；建立健全本镇农业生产资料的安全使用制度；负责本行政区域内农业机械化工作；按职责分工加强对农业技术推广工作的领导</w:t>
      </w:r>
      <w:r>
        <w:rPr>
          <w:rFonts w:hint="eastAsia" w:ascii="仿宋_GB2312" w:hAnsi="仿宋_GB2312" w:eastAsia="仿宋_GB2312" w:cs="仿宋_GB2312"/>
          <w:b w:val="0"/>
          <w:bCs w:val="0"/>
          <w:color w:val="auto"/>
          <w:sz w:val="32"/>
          <w:szCs w:val="32"/>
          <w:highlight w:val="none"/>
          <w:lang w:val="en-US" w:eastAsia="zh-CN"/>
        </w:rPr>
        <w:t>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综合保障办公室</w:t>
      </w:r>
      <w:r>
        <w:rPr>
          <w:rFonts w:hint="eastAsia" w:ascii="仿宋_GB2312" w:hAnsi="仿宋_GB2312" w:eastAsia="仿宋_GB2312" w:cs="仿宋_GB2312"/>
          <w:b w:val="0"/>
          <w:bCs w:val="0"/>
          <w:color w:val="auto"/>
          <w:sz w:val="32"/>
          <w:szCs w:val="32"/>
          <w:highlight w:val="none"/>
          <w:u w:val="none"/>
        </w:rPr>
        <w:t>负责本镇机关日常运转；信息、建议议案提案办理、保密、政府信息公开；承担机关重要事项的组织和督查工作；负责机关安全保卫、</w:t>
      </w:r>
      <w:r>
        <w:rPr>
          <w:rFonts w:hint="eastAsia" w:ascii="仿宋_GB2312" w:hAnsi="仿宋_GB2312" w:eastAsia="仿宋_GB2312" w:cs="仿宋_GB2312"/>
          <w:b w:val="0"/>
          <w:bCs w:val="0"/>
          <w:color w:val="auto"/>
          <w:sz w:val="32"/>
          <w:szCs w:val="32"/>
          <w:highlight w:val="none"/>
          <w:u w:val="none"/>
          <w:lang w:val="en-US" w:eastAsia="zh-CN"/>
        </w:rPr>
        <w:t>应急</w:t>
      </w:r>
      <w:r>
        <w:rPr>
          <w:rFonts w:hint="eastAsia" w:ascii="仿宋_GB2312" w:hAnsi="仿宋_GB2312" w:eastAsia="仿宋_GB2312" w:cs="仿宋_GB2312"/>
          <w:b w:val="0"/>
          <w:bCs w:val="0"/>
          <w:color w:val="auto"/>
          <w:sz w:val="32"/>
          <w:szCs w:val="32"/>
          <w:highlight w:val="none"/>
          <w:u w:val="none"/>
        </w:rPr>
        <w:t>值守</w:t>
      </w:r>
      <w:r>
        <w:rPr>
          <w:rFonts w:hint="eastAsia" w:ascii="仿宋_GB2312" w:hAnsi="仿宋_GB2312" w:eastAsia="仿宋_GB2312" w:cs="仿宋_GB2312"/>
          <w:b w:val="0"/>
          <w:bCs w:val="0"/>
          <w:color w:val="auto"/>
          <w:sz w:val="32"/>
          <w:szCs w:val="32"/>
          <w:highlight w:val="none"/>
          <w:u w:val="none"/>
          <w:lang w:val="en-US" w:eastAsia="zh-CN"/>
        </w:rPr>
        <w:t>与管理</w:t>
      </w:r>
      <w:r>
        <w:rPr>
          <w:rFonts w:hint="eastAsia" w:ascii="仿宋_GB2312" w:hAnsi="仿宋_GB2312" w:eastAsia="仿宋_GB2312" w:cs="仿宋_GB2312"/>
          <w:b w:val="0"/>
          <w:bCs w:val="0"/>
          <w:color w:val="auto"/>
          <w:sz w:val="32"/>
          <w:szCs w:val="32"/>
          <w:highlight w:val="none"/>
          <w:u w:val="none"/>
        </w:rPr>
        <w:t>、后勤服务、固定资产管理工作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纪委、区监委派出</w:t>
      </w:r>
      <w:r>
        <w:rPr>
          <w:rFonts w:hint="eastAsia" w:ascii="仿宋_GB2312" w:hAnsi="仿宋_GB2312" w:eastAsia="仿宋_GB2312" w:cs="仿宋_GB2312"/>
          <w:b w:val="0"/>
          <w:bCs w:val="0"/>
          <w:color w:val="auto"/>
          <w:sz w:val="32"/>
          <w:szCs w:val="32"/>
          <w:highlight w:val="none"/>
          <w:lang w:val="en-US" w:eastAsia="zh-CN"/>
        </w:rPr>
        <w:t>大城子</w:t>
      </w:r>
      <w:r>
        <w:rPr>
          <w:rFonts w:hint="eastAsia" w:ascii="仿宋_GB2312" w:hAnsi="仿宋_GB2312" w:eastAsia="仿宋_GB2312" w:cs="仿宋_GB2312"/>
          <w:b w:val="0"/>
          <w:bCs w:val="0"/>
          <w:color w:val="auto"/>
          <w:sz w:val="32"/>
          <w:szCs w:val="32"/>
          <w:highlight w:val="none"/>
        </w:rPr>
        <w:t>镇监察办公室</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b w:val="0"/>
          <w:bCs w:val="0"/>
          <w:color w:val="auto"/>
          <w:sz w:val="32"/>
          <w:szCs w:val="32"/>
          <w:highlight w:val="none"/>
        </w:rPr>
        <w:t>贯彻落实区委、镇党委关于纪律检查工作的决定、部署，维护党的章程和其他党内法规，检查党的路线方针政策和决议的执行情况</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协助镇党委推进全面从严治党、加强党风建设和组织协调反腐败工作</w:t>
      </w:r>
      <w:r>
        <w:rPr>
          <w:rFonts w:hint="eastAsia" w:ascii="仿宋_GB2312" w:hAnsi="仿宋_GB2312" w:eastAsia="仿宋_GB2312" w:cs="仿宋_GB2312"/>
          <w:b w:val="0"/>
          <w:bCs w:val="0"/>
          <w:color w:val="auto"/>
          <w:sz w:val="32"/>
          <w:szCs w:val="32"/>
          <w:highlight w:val="none"/>
          <w:lang w:eastAsia="zh-CN"/>
        </w:rPr>
        <w:t>。</w:t>
      </w:r>
    </w:p>
    <w:p>
      <w:pPr>
        <w:widowControl w:val="0"/>
        <w:wordWrap/>
        <w:autoSpaceDE w:val="0"/>
        <w:autoSpaceDN w:val="0"/>
        <w:adjustRightInd w:val="0"/>
        <w:spacing w:line="560" w:lineRule="exact"/>
        <w:ind w:right="0" w:firstLine="640" w:firstLineChars="200"/>
        <w:jc w:val="left"/>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综合行政执法队</w:t>
      </w:r>
      <w:r>
        <w:rPr>
          <w:rFonts w:hint="eastAsia" w:ascii="仿宋_GB2312" w:hAnsi="仿宋_GB2312" w:eastAsia="仿宋_GB2312" w:cs="仿宋_GB2312"/>
          <w:b w:val="0"/>
          <w:bCs w:val="0"/>
          <w:color w:val="auto"/>
          <w:sz w:val="32"/>
          <w:szCs w:val="32"/>
          <w:highlight w:val="none"/>
        </w:rPr>
        <w:t>镇综合行政执法队</w:t>
      </w:r>
      <w:r>
        <w:rPr>
          <w:rFonts w:hint="eastAsia" w:ascii="仿宋_GB2312" w:hAnsi="仿宋_GB2312" w:eastAsia="仿宋_GB2312" w:cs="仿宋_GB2312"/>
          <w:b w:val="0"/>
          <w:bCs w:val="0"/>
          <w:color w:val="auto"/>
          <w:sz w:val="32"/>
          <w:szCs w:val="32"/>
          <w:highlight w:val="none"/>
          <w:lang w:eastAsia="zh-CN"/>
        </w:rPr>
        <w:t>根据相关法律法规规定和向乡镇下放行政执法职权目录，以镇</w:t>
      </w:r>
      <w:r>
        <w:rPr>
          <w:rFonts w:hint="eastAsia" w:ascii="仿宋_GB2312" w:hAnsi="仿宋_GB2312" w:eastAsia="仿宋_GB2312" w:cs="仿宋_GB2312"/>
          <w:b w:val="0"/>
          <w:bCs w:val="0"/>
          <w:color w:val="auto"/>
          <w:sz w:val="32"/>
          <w:szCs w:val="32"/>
          <w:highlight w:val="none"/>
          <w:lang w:val="en-US" w:eastAsia="zh-CN"/>
        </w:rPr>
        <w:t>政府</w:t>
      </w:r>
      <w:r>
        <w:rPr>
          <w:rFonts w:hint="eastAsia" w:ascii="仿宋_GB2312" w:hAnsi="仿宋_GB2312" w:eastAsia="仿宋_GB2312" w:cs="仿宋_GB2312"/>
          <w:b w:val="0"/>
          <w:bCs w:val="0"/>
          <w:color w:val="auto"/>
          <w:sz w:val="32"/>
          <w:szCs w:val="32"/>
          <w:highlight w:val="none"/>
          <w:lang w:eastAsia="zh-CN"/>
        </w:rPr>
        <w:t>名义开展执法工作</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sz w:val="32"/>
          <w:szCs w:val="32"/>
          <w:highlight w:val="none"/>
          <w:lang w:val="en-US" w:eastAsia="zh-CN"/>
        </w:rPr>
        <w:t>便民服务中心（退役军人服务站）</w:t>
      </w:r>
      <w:r>
        <w:rPr>
          <w:rFonts w:hint="eastAsia" w:ascii="仿宋_GB2312" w:hAnsi="仿宋_GB2312" w:eastAsia="仿宋_GB2312" w:cs="仿宋_GB2312"/>
          <w:b w:val="0"/>
          <w:bCs w:val="0"/>
          <w:color w:val="auto"/>
          <w:sz w:val="32"/>
          <w:szCs w:val="32"/>
          <w:highlight w:val="none"/>
          <w:u w:val="none"/>
        </w:rPr>
        <w:t>为镇所属“窗口类”事业单位，</w:t>
      </w:r>
      <w:r>
        <w:rPr>
          <w:rFonts w:hint="eastAsia" w:ascii="仿宋_GB2312" w:hAnsi="仿宋_GB2312" w:eastAsia="仿宋_GB2312" w:cs="仿宋_GB2312"/>
          <w:b w:val="0"/>
          <w:bCs w:val="0"/>
          <w:color w:val="auto"/>
          <w:sz w:val="32"/>
          <w:szCs w:val="32"/>
          <w:highlight w:val="none"/>
          <w:u w:val="none"/>
          <w:lang w:val="en-US" w:eastAsia="zh-CN"/>
        </w:rPr>
        <w:t>负责</w:t>
      </w:r>
      <w:r>
        <w:rPr>
          <w:rFonts w:hint="eastAsia" w:ascii="仿宋_GB2312" w:hAnsi="仿宋_GB2312" w:eastAsia="仿宋_GB2312" w:cs="仿宋_GB2312"/>
          <w:b w:val="0"/>
          <w:bCs w:val="0"/>
          <w:color w:val="auto"/>
          <w:sz w:val="32"/>
          <w:szCs w:val="32"/>
          <w:highlight w:val="none"/>
          <w:u w:val="none"/>
        </w:rPr>
        <w:t>政务服务、社区服务、社会保障、住房保障、养老助残以及其他需要直接面向群众和驻区单位的综合便民服务工作，协调推动社区便民服务</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退役军人服务、拥军优属相关的事务性</w:t>
      </w:r>
      <w:r>
        <w:rPr>
          <w:rFonts w:hint="eastAsia" w:ascii="仿宋_GB2312" w:hAnsi="仿宋_GB2312" w:eastAsia="仿宋_GB2312" w:cs="仿宋_GB2312"/>
          <w:b w:val="0"/>
          <w:bCs w:val="0"/>
          <w:color w:val="auto"/>
          <w:sz w:val="32"/>
          <w:szCs w:val="32"/>
          <w:highlight w:val="none"/>
          <w:u w:val="none"/>
          <w:lang w:val="en-US" w:eastAsia="zh-CN"/>
        </w:rPr>
        <w:t>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市民活动中心（党群活动中心、文化和旅游服务中心）</w:t>
      </w:r>
      <w:r>
        <w:rPr>
          <w:rFonts w:hint="eastAsia" w:ascii="仿宋_GB2312" w:hAnsi="仿宋_GB2312" w:eastAsia="仿宋_GB2312" w:cs="仿宋_GB2312"/>
          <w:b w:val="0"/>
          <w:bCs w:val="0"/>
          <w:color w:val="auto"/>
          <w:sz w:val="32"/>
          <w:szCs w:val="32"/>
          <w:highlight w:val="none"/>
          <w:u w:val="none"/>
        </w:rPr>
        <w:t>为镇所属“活动类”事业单位，</w:t>
      </w:r>
      <w:r>
        <w:rPr>
          <w:rFonts w:hint="eastAsia" w:ascii="仿宋_GB2312" w:hAnsi="仿宋_GB2312" w:eastAsia="仿宋_GB2312" w:cs="仿宋_GB2312"/>
          <w:b w:val="0"/>
          <w:bCs w:val="0"/>
          <w:color w:val="auto"/>
          <w:sz w:val="32"/>
          <w:szCs w:val="32"/>
          <w:highlight w:val="none"/>
        </w:rPr>
        <w:t>主要承担党群文体活动组织、活动场所管理以及党群活动相关的事务性、辅助性工作等。</w:t>
      </w:r>
      <w:r>
        <w:rPr>
          <w:rFonts w:hint="eastAsia" w:ascii="仿宋_GB2312" w:hAnsi="仿宋_GB2312" w:eastAsia="仿宋_GB2312" w:cs="仿宋_GB2312"/>
          <w:b w:val="0"/>
          <w:bCs w:val="0"/>
          <w:color w:val="auto"/>
          <w:sz w:val="32"/>
          <w:szCs w:val="32"/>
          <w:highlight w:val="none"/>
          <w:u w:val="none"/>
        </w:rPr>
        <w:t>负责教科文体工作；</w:t>
      </w:r>
      <w:r>
        <w:rPr>
          <w:rFonts w:hint="eastAsia" w:ascii="仿宋_GB2312" w:hAnsi="仿宋_GB2312" w:eastAsia="仿宋_GB2312" w:cs="仿宋_GB2312"/>
          <w:b w:val="0"/>
          <w:bCs w:val="0"/>
          <w:color w:val="auto"/>
          <w:sz w:val="32"/>
          <w:szCs w:val="32"/>
          <w:highlight w:val="none"/>
        </w:rPr>
        <w:t>负责加强基层文化体育队伍建设；负责电影的放映；负责组织文体活动；负责文化、体育骨干的培训、技术指导；</w:t>
      </w:r>
      <w:r>
        <w:rPr>
          <w:rFonts w:hint="eastAsia" w:ascii="仿宋_GB2312" w:hAnsi="仿宋_GB2312" w:eastAsia="仿宋_GB2312" w:cs="仿宋_GB2312"/>
          <w:b w:val="0"/>
          <w:bCs w:val="0"/>
          <w:color w:val="auto"/>
          <w:sz w:val="32"/>
          <w:szCs w:val="32"/>
          <w:highlight w:val="none"/>
          <w:u w:val="none"/>
        </w:rPr>
        <w:t>按职责分工做好文物保护工作</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rPr>
        <w:t>承担文物保护相关事务性、辅助性等工作</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市民诉求处置中心（综治中心、城市管理指挥分中心）</w:t>
      </w:r>
      <w:r>
        <w:rPr>
          <w:rFonts w:hint="eastAsia" w:ascii="仿宋_GB2312" w:hAnsi="仿宋_GB2312" w:eastAsia="仿宋_GB2312" w:cs="仿宋_GB2312"/>
          <w:b w:val="0"/>
          <w:bCs w:val="0"/>
          <w:color w:val="auto"/>
          <w:sz w:val="32"/>
          <w:szCs w:val="32"/>
          <w:highlight w:val="none"/>
          <w:u w:val="none"/>
        </w:rPr>
        <w:t>为镇所属“平台类”事业单位，主要承担镇大数据管理、网格化管理、“12345”市政府服务热线等与城市管理、社会管理密切相关的事务性、辅助性工作</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生态环境保护中心</w:t>
      </w:r>
      <w:r>
        <w:rPr>
          <w:rFonts w:hint="eastAsia" w:ascii="仿宋_GB2312" w:eastAsia="仿宋_GB2312"/>
          <w:b w:val="0"/>
          <w:bCs w:val="0"/>
          <w:sz w:val="32"/>
          <w:szCs w:val="32"/>
        </w:rPr>
        <w:t>负责护水、护河、护山、护林、护地、护环境“六护”机制的具体实施；</w:t>
      </w:r>
      <w:r>
        <w:rPr>
          <w:rFonts w:hint="eastAsia" w:ascii="仿宋_GB2312" w:hAnsi="仿宋_GB2312" w:eastAsia="仿宋_GB2312" w:cs="仿宋_GB2312"/>
          <w:b w:val="0"/>
          <w:bCs w:val="0"/>
          <w:color w:val="auto"/>
          <w:sz w:val="32"/>
          <w:szCs w:val="32"/>
          <w:highlight w:val="none"/>
          <w:u w:val="none"/>
        </w:rPr>
        <w:t>负责本地区矿产资源、生态环境的管护；负责镇域内</w:t>
      </w:r>
      <w:r>
        <w:rPr>
          <w:rFonts w:hint="eastAsia" w:ascii="仿宋_GB2312" w:hAnsi="仿宋_GB2312" w:eastAsia="仿宋_GB2312" w:cs="仿宋_GB2312"/>
          <w:b w:val="0"/>
          <w:bCs w:val="0"/>
          <w:color w:val="auto"/>
          <w:sz w:val="32"/>
          <w:szCs w:val="32"/>
          <w:highlight w:val="none"/>
          <w:u w:val="none"/>
          <w:lang w:eastAsia="zh-CN"/>
        </w:rPr>
        <w:t>环境保护、</w:t>
      </w:r>
      <w:r>
        <w:rPr>
          <w:rFonts w:hint="eastAsia" w:ascii="仿宋_GB2312" w:hAnsi="仿宋_GB2312" w:eastAsia="仿宋_GB2312" w:cs="仿宋_GB2312"/>
          <w:b w:val="0"/>
          <w:bCs w:val="0"/>
          <w:color w:val="auto"/>
          <w:sz w:val="32"/>
          <w:szCs w:val="32"/>
          <w:highlight w:val="none"/>
          <w:u w:val="none"/>
        </w:rPr>
        <w:t>环境卫生服务、垃圾处理、扫雪铲冰、环卫基础设施建设、</w:t>
      </w:r>
      <w:r>
        <w:rPr>
          <w:rFonts w:hint="eastAsia" w:ascii="仿宋_GB2312" w:hAnsi="仿宋_GB2312" w:eastAsia="仿宋_GB2312" w:cs="仿宋_GB2312"/>
          <w:b w:val="0"/>
          <w:bCs w:val="0"/>
          <w:color w:val="auto"/>
          <w:sz w:val="32"/>
          <w:szCs w:val="32"/>
          <w:highlight w:val="none"/>
          <w:u w:val="none"/>
          <w:lang w:val="en-US" w:eastAsia="zh-CN"/>
        </w:rPr>
        <w:t>人居</w:t>
      </w:r>
      <w:r>
        <w:rPr>
          <w:rFonts w:hint="eastAsia" w:ascii="仿宋_GB2312" w:hAnsi="仿宋_GB2312" w:eastAsia="仿宋_GB2312" w:cs="仿宋_GB2312"/>
          <w:b w:val="0"/>
          <w:bCs w:val="0"/>
          <w:color w:val="auto"/>
          <w:sz w:val="32"/>
          <w:szCs w:val="32"/>
          <w:highlight w:val="none"/>
          <w:u w:val="none"/>
        </w:rPr>
        <w:t>环境整治提升等事务性、辅助性工作。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农业农村服务中心</w:t>
      </w:r>
      <w:r>
        <w:rPr>
          <w:rFonts w:hint="eastAsia" w:ascii="仿宋_GB2312" w:hAnsi="仿宋_GB2312" w:eastAsia="仿宋_GB2312" w:cs="仿宋_GB2312"/>
          <w:b w:val="0"/>
          <w:bCs w:val="0"/>
          <w:color w:val="auto"/>
          <w:sz w:val="32"/>
          <w:szCs w:val="32"/>
          <w:highlight w:val="none"/>
        </w:rPr>
        <w:t>负责植树造林、古树名木、野生动物保护、森林资源管护、森林防火等事务性、辅助性工作；负责林果业发展的技术指导与服务；负责林果业病虫害预测、预报、检疫等；负责土情、肥情、墒情、疫情等监测、预报和处置；负责林业投入品及</w:t>
      </w:r>
      <w:r>
        <w:rPr>
          <w:rFonts w:hint="eastAsia" w:ascii="仿宋_GB2312" w:hAnsi="仿宋_GB2312" w:eastAsia="仿宋_GB2312" w:cs="仿宋_GB2312"/>
          <w:b w:val="0"/>
          <w:bCs w:val="0"/>
          <w:color w:val="auto"/>
          <w:sz w:val="32"/>
          <w:szCs w:val="32"/>
          <w:highlight w:val="none"/>
          <w:lang w:val="en-US" w:eastAsia="zh-CN"/>
        </w:rPr>
        <w:t>林</w:t>
      </w:r>
      <w:r>
        <w:rPr>
          <w:rFonts w:hint="eastAsia" w:ascii="仿宋_GB2312" w:hAnsi="仿宋_GB2312" w:eastAsia="仿宋_GB2312" w:cs="仿宋_GB2312"/>
          <w:b w:val="0"/>
          <w:bCs w:val="0"/>
          <w:color w:val="auto"/>
          <w:sz w:val="32"/>
          <w:szCs w:val="32"/>
          <w:highlight w:val="none"/>
        </w:rPr>
        <w:t>产品生产过程中的质量安全检测、监测和强制性检验；负责林业技术服务与培训</w:t>
      </w:r>
      <w:r>
        <w:rPr>
          <w:rFonts w:hint="eastAsia" w:ascii="仿宋_GB2312" w:hAnsi="仿宋_GB2312" w:eastAsia="仿宋_GB2312" w:cs="仿宋_GB2312"/>
          <w:b w:val="0"/>
          <w:bCs w:val="0"/>
          <w:color w:val="auto"/>
          <w:sz w:val="32"/>
          <w:szCs w:val="32"/>
          <w:highlight w:val="none"/>
          <w:lang w:val="en-US" w:eastAsia="zh-CN"/>
        </w:rPr>
        <w:t>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（二）人员构成情况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kern w:val="0"/>
          <w:sz w:val="32"/>
          <w:szCs w:val="32"/>
          <w:highlight w:val="none"/>
          <w:lang w:val="en-US" w:eastAsia="zh-CN"/>
        </w:rPr>
      </w:pPr>
      <w:r>
        <w:rPr>
          <w:rFonts w:hint="eastAsia" w:ascii="仿宋_GB2312" w:eastAsia="仿宋_GB2312"/>
          <w:kern w:val="0"/>
          <w:sz w:val="32"/>
          <w:szCs w:val="32"/>
          <w:highlight w:val="none"/>
          <w:lang w:val="en-US" w:eastAsia="zh-CN"/>
        </w:rPr>
        <w:t>本单位行政编制44人，实有人数42人；事业编制53人，实有人数48人；离退休人员4人，其中离休0人，退休4人。</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ascii="黑体" w:eastAsia="黑体"/>
          <w:b w:val="0"/>
          <w:bCs/>
          <w:sz w:val="32"/>
          <w:szCs w:val="32"/>
        </w:rPr>
      </w:pPr>
      <w:r>
        <w:rPr>
          <w:rFonts w:hint="eastAsia" w:ascii="黑体" w:eastAsia="黑体"/>
          <w:b w:val="0"/>
          <w:bCs/>
          <w:sz w:val="32"/>
          <w:szCs w:val="32"/>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2024年度收、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17742.55</w:t>
      </w:r>
      <w:r>
        <w:rPr>
          <w:rFonts w:hint="eastAsia" w:ascii="仿宋_GB2312" w:eastAsia="仿宋_GB2312"/>
          <w:sz w:val="32"/>
          <w:szCs w:val="32"/>
        </w:rPr>
        <w:t>万元，</w:t>
      </w:r>
      <w:r>
        <w:rPr>
          <w:rFonts w:ascii="仿宋_GB2312" w:eastAsia="仿宋_GB2312"/>
          <w:sz w:val="32"/>
          <w:szCs w:val="32"/>
          <w:highlight w:val="none"/>
        </w:rPr>
        <w:t>比上年</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5643.94</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24.13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主要原因：本年度年初结转和结余资金减少，减少金额为7919.47万元。</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（一）收入决算说明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2024年度本年收入合计</w:t>
      </w:r>
      <w:r>
        <w:rPr>
          <w:rFonts w:ascii="仿宋_GB2312" w:eastAsia="仿宋_GB2312"/>
          <w:sz w:val="32"/>
          <w:szCs w:val="32"/>
        </w:rPr>
        <w:t>15055.6</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highlight w:val="none"/>
        </w:rPr>
        <w:t>比上年增加</w:t>
      </w:r>
      <w:r>
        <w:rPr>
          <w:rFonts w:hint="eastAsia" w:ascii="仿宋_GB2312" w:eastAsia="仿宋_GB2312"/>
          <w:sz w:val="32"/>
          <w:szCs w:val="32"/>
          <w:highlight w:val="none"/>
          <w:lang w:val="en-US" w:eastAsia="zh-CN"/>
        </w:rPr>
        <w:t>2275.52</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17.81</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主要原因：一般公共预算财政拨款收入增加，与其相关的项目收入增加。</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en-US" w:eastAsia="zh-CN"/>
        </w:rPr>
      </w:pPr>
      <w:r>
        <w:rPr>
          <w:rFonts w:hint="eastAsia" w:ascii="仿宋_GB2312" w:eastAsia="仿宋_GB2312"/>
          <w:sz w:val="32"/>
          <w:szCs w:val="32"/>
        </w:rPr>
        <w:t>1.财政拨款收入</w:t>
      </w:r>
      <w:r>
        <w:rPr>
          <w:rFonts w:ascii="仿宋_GB2312" w:eastAsia="仿宋_GB2312"/>
          <w:sz w:val="32"/>
          <w:szCs w:val="32"/>
        </w:rPr>
        <w:t>15055.6</w:t>
      </w:r>
      <w:r>
        <w:rPr>
          <w:rFonts w:hint="eastAsia" w:ascii="仿宋_GB2312" w:eastAsia="仿宋_GB2312"/>
          <w:sz w:val="32"/>
          <w:szCs w:val="32"/>
          <w:lang w:val="en-US" w:eastAsia="zh-CN"/>
        </w:rPr>
        <w:t>0</w:t>
      </w:r>
      <w:r>
        <w:rPr>
          <w:rFonts w:hint="eastAsia" w:ascii="仿宋_GB2312" w:eastAsia="仿宋_GB2312"/>
          <w:sz w:val="32"/>
          <w:szCs w:val="32"/>
        </w:rPr>
        <w:t>万元，占收入合计的100</w:t>
      </w:r>
      <w:r>
        <w:rPr>
          <w:rFonts w:hint="eastAsia" w:ascii="仿宋_GB2312" w:eastAsia="仿宋_GB2312"/>
          <w:sz w:val="32"/>
          <w:szCs w:val="32"/>
          <w:lang w:val="en-US" w:eastAsia="zh-CN"/>
        </w:rPr>
        <w:t>.00</w:t>
      </w:r>
      <w:r>
        <w:rPr>
          <w:rFonts w:hint="eastAsia" w:ascii="仿宋_GB2312" w:eastAsia="仿宋_GB2312"/>
          <w:sz w:val="32"/>
          <w:szCs w:val="32"/>
        </w:rPr>
        <w:t>%。其中：一般公共预算财政拨款收入</w:t>
      </w:r>
      <w:r>
        <w:rPr>
          <w:rFonts w:ascii="仿宋_GB2312" w:eastAsia="仿宋_GB2312"/>
          <w:sz w:val="32"/>
          <w:szCs w:val="32"/>
        </w:rPr>
        <w:t>12325.78</w:t>
      </w:r>
      <w:r>
        <w:rPr>
          <w:rFonts w:hint="eastAsia" w:ascii="仿宋_GB2312" w:eastAsia="仿宋_GB2312"/>
          <w:sz w:val="32"/>
          <w:szCs w:val="32"/>
        </w:rPr>
        <w:t>万元，占收入合计的81.87%；政府性基金预算财政拨款收入</w:t>
      </w:r>
      <w:r>
        <w:rPr>
          <w:rFonts w:ascii="仿宋_GB2312" w:eastAsia="仿宋_GB2312"/>
          <w:sz w:val="32"/>
          <w:szCs w:val="32"/>
        </w:rPr>
        <w:t>2729.81</w:t>
      </w:r>
      <w:r>
        <w:rPr>
          <w:rFonts w:hint="eastAsia" w:ascii="仿宋_GB2312" w:eastAsia="仿宋_GB2312"/>
          <w:sz w:val="32"/>
          <w:szCs w:val="32"/>
        </w:rPr>
        <w:t>万元，占收入合计的18.13%；国有资本经营预算财政拨款收入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本单位无此项收入；</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2.上级补助收入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本单位无此项收入；</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3.事业收入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本单位无此项收入；</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4.经营收入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本单位无此项收入；</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5.附属单位上缴收入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本单位无此项收入；</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6.其他收入</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万元，占收入合计的0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本单位无此项收入。</w:t>
      </w:r>
    </w:p>
    <w:p>
      <w:pPr>
        <w:pStyle w:val="2"/>
        <w:spacing w:before="156" w:after="156"/>
        <w:jc w:val="center"/>
        <w:rPr>
          <w:sz w:val="32"/>
          <w:szCs w:val="32"/>
        </w:rPr>
      </w:pPr>
      <w:r>
        <w:rPr>
          <w:rFonts w:hint="eastAsia" w:ascii="仿宋_GB2312" w:eastAsia="仿宋_GB2312"/>
          <w:color w:val="000000"/>
          <w:sz w:val="32"/>
          <w:szCs w:val="32"/>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（二）支出决算说明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2024年度本年支出合计</w:t>
      </w:r>
      <w:r>
        <w:rPr>
          <w:rFonts w:ascii="仿宋_GB2312" w:eastAsia="仿宋_GB2312"/>
          <w:sz w:val="32"/>
          <w:szCs w:val="32"/>
        </w:rPr>
        <w:t>17343.57</w:t>
      </w:r>
      <w:r>
        <w:rPr>
          <w:rFonts w:hint="eastAsia" w:ascii="仿宋_GB2312" w:eastAsia="仿宋_GB2312"/>
          <w:sz w:val="32"/>
          <w:szCs w:val="32"/>
        </w:rPr>
        <w:t>万元，</w:t>
      </w:r>
      <w:r>
        <w:rPr>
          <w:rFonts w:ascii="仿宋_GB2312" w:eastAsia="仿宋_GB2312"/>
          <w:sz w:val="32"/>
          <w:szCs w:val="32"/>
          <w:highlight w:val="none"/>
        </w:rPr>
        <w:t>比上年</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4505.04</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20.62</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主要原因：本年度与项目有关的支出减少。</w:t>
      </w:r>
      <w:r>
        <w:rPr>
          <w:rFonts w:hint="eastAsia" w:ascii="仿宋_GB2312" w:eastAsia="仿宋_GB2312"/>
          <w:sz w:val="32"/>
          <w:szCs w:val="32"/>
        </w:rPr>
        <w:t>其中：基本支出</w:t>
      </w:r>
      <w:r>
        <w:rPr>
          <w:rFonts w:ascii="仿宋_GB2312" w:eastAsia="仿宋_GB2312"/>
          <w:sz w:val="32"/>
          <w:szCs w:val="32"/>
        </w:rPr>
        <w:t>2468.51</w:t>
      </w:r>
      <w:r>
        <w:rPr>
          <w:rFonts w:hint="eastAsia" w:ascii="仿宋_GB2312" w:eastAsia="仿宋_GB2312"/>
          <w:sz w:val="32"/>
          <w:szCs w:val="32"/>
        </w:rPr>
        <w:t>万元，占支出合计的14.23%；项目支出</w:t>
      </w:r>
      <w:r>
        <w:rPr>
          <w:rFonts w:ascii="仿宋_GB2312" w:eastAsia="仿宋_GB2312"/>
          <w:sz w:val="32"/>
          <w:szCs w:val="32"/>
        </w:rPr>
        <w:t>14875.06</w:t>
      </w:r>
      <w:r>
        <w:rPr>
          <w:rFonts w:hint="eastAsia" w:ascii="仿宋_GB2312" w:eastAsia="仿宋_GB2312"/>
          <w:sz w:val="32"/>
          <w:szCs w:val="32"/>
        </w:rPr>
        <w:t>万元，占支出合计的85.77%;上缴上级支出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万元，占支出合计的0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本单位无此项支出</w:t>
      </w:r>
      <w:r>
        <w:rPr>
          <w:rFonts w:hint="eastAsia" w:ascii="仿宋_GB2312" w:eastAsia="仿宋_GB2312"/>
          <w:sz w:val="32"/>
          <w:szCs w:val="32"/>
        </w:rPr>
        <w:t>；经营支出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万元，占支出合计的0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本单位无此项支出</w:t>
      </w:r>
      <w:r>
        <w:rPr>
          <w:rFonts w:hint="eastAsia" w:ascii="仿宋_GB2312" w:eastAsia="仿宋_GB2312"/>
          <w:sz w:val="32"/>
          <w:szCs w:val="32"/>
        </w:rPr>
        <w:t>；对附属单位补助支出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万元，占支出合计的0</w:t>
      </w:r>
      <w:r>
        <w:rPr>
          <w:rFonts w:hint="eastAsia" w:ascii="仿宋_GB2312" w:eastAsia="仿宋_GB2312"/>
          <w:sz w:val="32"/>
          <w:szCs w:val="32"/>
          <w:lang w:val="en-US" w:eastAsia="zh-CN"/>
        </w:rPr>
        <w:t>.00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本单位无此项支出</w:t>
      </w:r>
      <w:r>
        <w:rPr>
          <w:rFonts w:hint="eastAsia" w:ascii="仿宋_GB2312" w:eastAsia="仿宋_GB2312"/>
          <w:sz w:val="32"/>
          <w:szCs w:val="32"/>
        </w:rPr>
        <w:t>。</w:t>
      </w:r>
    </w:p>
    <w:p>
      <w:pPr>
        <w:pStyle w:val="2"/>
        <w:spacing w:before="156" w:after="156"/>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tabs>
          <w:tab w:val="center" w:pos="6979"/>
        </w:tabs>
        <w:kinsoku/>
        <w:wordWrap/>
        <w:overflowPunct/>
        <w:topLinePunct w:val="0"/>
        <w:bidi w:val="0"/>
        <w:snapToGrid/>
        <w:spacing w:line="560" w:lineRule="exact"/>
        <w:ind w:firstLine="640" w:firstLineChars="200"/>
        <w:textAlignment w:val="auto"/>
        <w:rPr>
          <w:rFonts w:ascii="黑体" w:eastAsia="黑体"/>
          <w:b w:val="0"/>
          <w:bCs/>
          <w:sz w:val="32"/>
          <w:szCs w:val="32"/>
        </w:rPr>
      </w:pPr>
      <w:r>
        <w:rPr>
          <w:rFonts w:hint="eastAsia" w:ascii="黑体" w:eastAsia="黑体"/>
          <w:b w:val="0"/>
          <w:bCs/>
          <w:sz w:val="32"/>
          <w:szCs w:val="32"/>
        </w:rPr>
        <w:t>三</w:t>
      </w:r>
      <w:r>
        <w:rPr>
          <w:rFonts w:ascii="黑体" w:eastAsia="黑体"/>
          <w:b w:val="0"/>
          <w:bCs/>
          <w:sz w:val="32"/>
          <w:szCs w:val="32"/>
        </w:rPr>
        <w:t>、财政拨款</w:t>
      </w:r>
      <w:r>
        <w:rPr>
          <w:rFonts w:hint="eastAsia" w:ascii="黑体" w:eastAsia="黑体"/>
          <w:b w:val="0"/>
          <w:bCs/>
          <w:sz w:val="32"/>
          <w:szCs w:val="32"/>
        </w:rPr>
        <w:t>收入支出决算</w:t>
      </w:r>
      <w:r>
        <w:rPr>
          <w:rFonts w:ascii="黑体" w:eastAsia="黑体"/>
          <w:b w:val="0"/>
          <w:bCs/>
          <w:sz w:val="32"/>
          <w:szCs w:val="32"/>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2024年度财政拨款收、支总计16204.67万元，</w:t>
      </w:r>
      <w:r>
        <w:rPr>
          <w:rFonts w:hint="eastAsia" w:ascii="仿宋_GB2312" w:hAnsi="仿宋_GB2312" w:eastAsia="仿宋_GB2312" w:cs="仿宋_GB2312"/>
          <w:sz w:val="32"/>
          <w:szCs w:val="32"/>
          <w:highlight w:val="none"/>
        </w:rPr>
        <w:t>比上年减少</w:t>
      </w:r>
      <w:r>
        <w:rPr>
          <w:rFonts w:hint="eastAsia" w:ascii="仿宋_GB2312" w:hAnsi="仿宋_GB2312" w:eastAsia="仿宋_GB2312" w:cs="仿宋_GB2312"/>
          <w:sz w:val="32"/>
          <w:szCs w:val="32"/>
          <w:highlight w:val="none"/>
          <w:lang w:val="en-US" w:eastAsia="zh-CN"/>
        </w:rPr>
        <w:t>2817.60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14.81</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收入方面为年初财政拨款结转和结余收入减少，支出方面为一般公共预算财政拨款支出减少</w:t>
      </w:r>
      <w:r>
        <w:rPr>
          <w:rFonts w:hint="eastAsia" w:ascii="仿宋_GB2312" w:hAnsi="仿宋_GB2312" w:eastAsia="仿宋_GB2312" w:cs="仿宋_GB2312"/>
          <w:sz w:val="32"/>
          <w:szCs w:val="32"/>
          <w:highlight w:val="none"/>
        </w:rPr>
        <w:t>。</w:t>
      </w:r>
    </w:p>
    <w:p>
      <w:pPr>
        <w:keepNext w:val="0"/>
        <w:keepLines w:val="0"/>
        <w:pageBreakBefore w:val="0"/>
        <w:widowControl w:val="0"/>
        <w:tabs>
          <w:tab w:val="center" w:pos="6979"/>
        </w:tabs>
        <w:kinsoku/>
        <w:wordWrap/>
        <w:overflowPunct/>
        <w:topLinePunct w:val="0"/>
        <w:bidi w:val="0"/>
        <w:snapToGrid/>
        <w:spacing w:line="560" w:lineRule="exact"/>
        <w:ind w:firstLine="640" w:firstLineChars="200"/>
        <w:textAlignment w:val="auto"/>
        <w:rPr>
          <w:rFonts w:ascii="黑体" w:eastAsia="黑体"/>
          <w:b w:val="0"/>
          <w:bCs/>
          <w:sz w:val="32"/>
          <w:szCs w:val="32"/>
        </w:rPr>
      </w:pPr>
      <w:r>
        <w:rPr>
          <w:rFonts w:hint="eastAsia" w:ascii="黑体" w:eastAsia="黑体"/>
          <w:b w:val="0"/>
          <w:bCs/>
          <w:sz w:val="32"/>
          <w:szCs w:val="32"/>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2024年度一般公共预算财政拨款支出13359.36万元，</w:t>
      </w:r>
      <w:r>
        <w:rPr>
          <w:rFonts w:hint="eastAsia" w:ascii="仿宋_GB2312" w:hAnsi="仿宋_GB2312" w:eastAsia="仿宋_GB2312" w:cs="仿宋_GB2312"/>
          <w:sz w:val="32"/>
          <w:szCs w:val="32"/>
          <w:highlight w:val="none"/>
        </w:rPr>
        <w:t>主要用于以下方面：一般公共服务支出</w:t>
      </w:r>
      <w:r>
        <w:rPr>
          <w:rFonts w:hint="eastAsia" w:ascii="仿宋_GB2312" w:hAnsi="仿宋_GB2312" w:eastAsia="仿宋_GB2312" w:cs="仿宋_GB2312"/>
          <w:sz w:val="32"/>
          <w:szCs w:val="32"/>
          <w:highlight w:val="none"/>
          <w:lang w:val="en-US" w:eastAsia="zh-CN"/>
        </w:rPr>
        <w:t>2438.05</w:t>
      </w:r>
      <w:r>
        <w:rPr>
          <w:rFonts w:hint="eastAsia" w:ascii="仿宋_GB2312" w:hAnsi="仿宋_GB2312" w:eastAsia="仿宋_GB2312" w:cs="仿宋_GB2312"/>
          <w:sz w:val="32"/>
          <w:szCs w:val="32"/>
          <w:highlight w:val="none"/>
        </w:rPr>
        <w:t>万元，占本年财政拨款支出</w:t>
      </w:r>
      <w:r>
        <w:rPr>
          <w:rFonts w:hint="eastAsia" w:ascii="仿宋_GB2312" w:hAnsi="仿宋_GB2312" w:eastAsia="仿宋_GB2312" w:cs="仿宋_GB2312"/>
          <w:sz w:val="32"/>
          <w:szCs w:val="32"/>
          <w:highlight w:val="none"/>
          <w:lang w:val="en-US" w:eastAsia="zh-CN"/>
        </w:rPr>
        <w:t>18.25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公共安全支出2.22</w:t>
      </w:r>
      <w:r>
        <w:rPr>
          <w:rFonts w:hint="eastAsia" w:ascii="仿宋_GB2312" w:hAnsi="仿宋_GB2312" w:eastAsia="仿宋_GB2312" w:cs="仿宋_GB2312"/>
          <w:sz w:val="32"/>
          <w:szCs w:val="32"/>
          <w:highlight w:val="none"/>
        </w:rPr>
        <w:t>万元，占本年财政拨款支出</w:t>
      </w:r>
      <w:r>
        <w:rPr>
          <w:rFonts w:hint="eastAsia" w:ascii="仿宋_GB2312" w:hAnsi="仿宋_GB2312" w:eastAsia="仿宋_GB2312" w:cs="仿宋_GB2312"/>
          <w:sz w:val="32"/>
          <w:szCs w:val="32"/>
          <w:highlight w:val="none"/>
          <w:lang w:val="en-US" w:eastAsia="zh-CN"/>
        </w:rPr>
        <w:t>0.02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文化旅游体育与传媒支出213.49万元，占本年财政拨款支出1.60%；社会保障和就业支出512.06万元，占本年财政拨款支出3.83%；卫生健康支出8.74万元，占本年财政拨款支出0.07%；节能环保支出396.06万元，占本年财政拨款支出2.96%；城乡社区支出548.98万元。占本年财政拨款支出4.11%；农林水支出6168.15万元，占本年财政拨款支出46.17%；资源勘探工业信息等支出1787.10万元，占本年财政拨款支出13.38%；灾害防治及应急管理支出1284.50万元，占本年财政拨款支出9.61%。</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1、“一般公共服务支出”2024年度决算</w:t>
      </w:r>
      <w:r>
        <w:rPr>
          <w:rFonts w:hint="eastAsia" w:ascii="仿宋_GB2312" w:hAnsi="仿宋_GB2312" w:eastAsia="仿宋_GB2312" w:cs="仿宋_GB2312"/>
          <w:sz w:val="32"/>
          <w:szCs w:val="32"/>
          <w:highlight w:val="none"/>
          <w:lang w:val="en-US" w:eastAsia="zh-CN"/>
        </w:rPr>
        <w:t>2438.05</w:t>
      </w:r>
      <w:r>
        <w:rPr>
          <w:rFonts w:hint="eastAsia" w:ascii="仿宋_GB2312" w:hAnsi="仿宋_GB2312" w:eastAsia="仿宋_GB2312" w:cs="仿宋_GB2312"/>
          <w:sz w:val="32"/>
          <w:szCs w:val="32"/>
          <w:highlight w:val="none"/>
        </w:rPr>
        <w:t>万元，比2024年度年初预算减少</w:t>
      </w:r>
      <w:r>
        <w:rPr>
          <w:rFonts w:hint="eastAsia" w:ascii="仿宋_GB2312" w:hAnsi="仿宋_GB2312" w:eastAsia="仿宋_GB2312" w:cs="仿宋_GB2312"/>
          <w:sz w:val="32"/>
          <w:szCs w:val="32"/>
          <w:highlight w:val="none"/>
          <w:lang w:val="en-US" w:eastAsia="zh-CN"/>
        </w:rPr>
        <w:t>386.16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13.67</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“人大事务”2024年度决算</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2024年度年初预算</w:t>
      </w:r>
      <w:r>
        <w:rPr>
          <w:rFonts w:hint="eastAsia" w:ascii="仿宋_GB2312" w:hAnsi="仿宋_GB2312" w:eastAsia="仿宋_GB2312" w:cs="仿宋_GB2312"/>
          <w:sz w:val="32"/>
          <w:szCs w:val="32"/>
          <w:highlight w:val="none"/>
          <w:lang w:val="en-US" w:eastAsia="zh-CN"/>
        </w:rPr>
        <w:t>相等</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人大代表、党代表工作活动按计划开展</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“政府办公厅（室）及相关机构事务”2024年度决算2391.21万元，</w:t>
      </w:r>
      <w:r>
        <w:rPr>
          <w:rFonts w:hint="eastAsia" w:ascii="仿宋_GB2312" w:hAnsi="仿宋_GB2312" w:eastAsia="仿宋_GB2312" w:cs="仿宋_GB2312"/>
          <w:sz w:val="32"/>
          <w:szCs w:val="32"/>
          <w:highlight w:val="none"/>
        </w:rPr>
        <w:t>比2024年度年初预算减少</w:t>
      </w:r>
      <w:r>
        <w:rPr>
          <w:rFonts w:hint="eastAsia" w:ascii="仿宋_GB2312" w:hAnsi="仿宋_GB2312" w:eastAsia="仿宋_GB2312" w:cs="仿宋_GB2312"/>
          <w:sz w:val="32"/>
          <w:szCs w:val="32"/>
          <w:highlight w:val="none"/>
          <w:lang w:val="en-US" w:eastAsia="zh-CN"/>
        </w:rPr>
        <w:t>413.00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14.73</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落实过紧日子要求，其他公用经费支出减少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“统计信息事务”2024年度决算7.83万元，年初无预算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开展第五次全国经济普查及年度人口抽样调查所需经费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“纪检监察事务”2024年度决算3.13万元，</w:t>
      </w:r>
      <w:r>
        <w:rPr>
          <w:rFonts w:hint="eastAsia" w:ascii="仿宋_GB2312" w:hAnsi="仿宋_GB2312" w:eastAsia="仿宋_GB2312" w:cs="仿宋_GB2312"/>
          <w:sz w:val="32"/>
          <w:szCs w:val="32"/>
          <w:highlight w:val="none"/>
        </w:rPr>
        <w:t>比2024年度年初预算减少</w:t>
      </w:r>
      <w:r>
        <w:rPr>
          <w:rFonts w:hint="eastAsia" w:ascii="仿宋_GB2312" w:hAnsi="仿宋_GB2312" w:eastAsia="仿宋_GB2312" w:cs="仿宋_GB2312"/>
          <w:sz w:val="32"/>
          <w:szCs w:val="32"/>
          <w:highlight w:val="none"/>
          <w:lang w:val="en-US" w:eastAsia="zh-CN"/>
        </w:rPr>
        <w:t>6.87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68.70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纪委办案经费实际支出低于年初预算数</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“民主党派及工商联事务”2024年度决算0.16万元，年初无预算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新增专项转移支付项目清真饮食习惯的少数民族低保群众一次性春节生活补助</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“组织事务”2024年度决算6.40万元，年初无预算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新增专项转移支付项目选调生到村任职补助资金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“其他共产党事务支出”2024年度决算5.20万元，年初无预算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新增专项转移支付项目平安建设工作经费及防范和处理</w:t>
      </w:r>
      <w:bookmarkStart w:id="0" w:name="_GoBack"/>
      <w:r>
        <w:rPr>
          <w:rFonts w:hint="eastAsia" w:ascii="仿宋_GB2312" w:hAnsi="仿宋_GB2312" w:eastAsia="仿宋_GB2312" w:cs="仿宋_GB2312"/>
          <w:sz w:val="32"/>
          <w:szCs w:val="32"/>
          <w:highlight w:val="none"/>
          <w:lang w:val="en-US" w:eastAsia="zh-CN"/>
        </w:rPr>
        <w:t>邪教</w:t>
      </w:r>
      <w:bookmarkEnd w:id="0"/>
      <w:r>
        <w:rPr>
          <w:rFonts w:hint="eastAsia" w:ascii="仿宋_GB2312" w:hAnsi="仿宋_GB2312" w:eastAsia="仿宋_GB2312" w:cs="仿宋_GB2312"/>
          <w:sz w:val="32"/>
          <w:szCs w:val="32"/>
          <w:highlight w:val="none"/>
          <w:lang w:val="en-US" w:eastAsia="zh-CN"/>
        </w:rPr>
        <w:t>工作经费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“社会工作事务”2024年度决算14.13万元，年初无预算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新增专项转移支付项目社会工作服务平台建设</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公共安全</w:t>
      </w:r>
      <w:r>
        <w:rPr>
          <w:rFonts w:hint="eastAsia" w:ascii="仿宋_GB2312" w:hAnsi="仿宋_GB2312" w:eastAsia="仿宋_GB2312" w:cs="仿宋_GB2312"/>
          <w:sz w:val="32"/>
          <w:szCs w:val="32"/>
          <w:highlight w:val="none"/>
        </w:rPr>
        <w:t>支出”2024年度决算</w:t>
      </w:r>
      <w:r>
        <w:rPr>
          <w:rFonts w:hint="eastAsia" w:ascii="仿宋_GB2312" w:hAnsi="仿宋_GB2312" w:eastAsia="仿宋_GB2312" w:cs="仿宋_GB2312"/>
          <w:sz w:val="32"/>
          <w:szCs w:val="32"/>
          <w:highlight w:val="none"/>
          <w:lang w:val="en-US" w:eastAsia="zh-CN"/>
        </w:rPr>
        <w:t>2.22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公安</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2.22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新增专项转移支付项目违规电动三四轮车淘汰处置奖励资金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文化旅游体育与传媒支出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213.49</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190.89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844.65</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文化和旅游</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126.95</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104.35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461.73</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新增专项转移支付项目文化广场及文化大院改造项目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文物</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86.54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新增专项转移支付项目大城子镇68号敌台、70号敌台及68-70号敌台间墙体抢险加固工程</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512.06</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321.33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168.47</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人力资源和社会保障管理事务</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192.95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新增专项转移支付项目高校毕业生“三支一扶”计划人员经费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“民政管理事务”2024年度决算20.92万元，年初无预算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新增专项转移支付项目严重精神障碍患者看护补贴项目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“行政事业单位养老支出”2024年度决算77.30万元，</w:t>
      </w:r>
      <w:r>
        <w:rPr>
          <w:rFonts w:hint="eastAsia" w:ascii="仿宋_GB2312" w:hAnsi="仿宋_GB2312" w:eastAsia="仿宋_GB2312" w:cs="仿宋_GB2312"/>
          <w:sz w:val="32"/>
          <w:szCs w:val="32"/>
          <w:highlight w:val="none"/>
        </w:rPr>
        <w:t>比2024年度年初预算减少</w:t>
      </w:r>
      <w:r>
        <w:rPr>
          <w:rFonts w:hint="eastAsia" w:ascii="仿宋_GB2312" w:hAnsi="仿宋_GB2312" w:eastAsia="仿宋_GB2312" w:cs="仿宋_GB2312"/>
          <w:sz w:val="32"/>
          <w:szCs w:val="32"/>
          <w:highlight w:val="none"/>
          <w:lang w:val="en-US" w:eastAsia="zh-CN"/>
        </w:rPr>
        <w:t>3.43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4.25</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退休补贴实际支出与年初预算数相比减少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“就业补助”2024年度决算150.48万元，</w:t>
      </w:r>
      <w:r>
        <w:rPr>
          <w:rFonts w:hint="eastAsia" w:ascii="仿宋_GB2312" w:hAnsi="仿宋_GB2312" w:eastAsia="仿宋_GB2312" w:cs="仿宋_GB2312"/>
          <w:sz w:val="32"/>
          <w:szCs w:val="32"/>
          <w:highlight w:val="none"/>
        </w:rPr>
        <w:t>比2024年度年初预算增加</w:t>
      </w:r>
      <w:r>
        <w:rPr>
          <w:rFonts w:hint="eastAsia" w:ascii="仿宋_GB2312" w:hAnsi="仿宋_GB2312" w:eastAsia="仿宋_GB2312" w:cs="仿宋_GB2312"/>
          <w:sz w:val="32"/>
          <w:szCs w:val="32"/>
          <w:highlight w:val="none"/>
          <w:lang w:val="en-US" w:eastAsia="zh-CN"/>
        </w:rPr>
        <w:t>60.48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67.20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就业服务中心公益性岗位就业补助实际支出与年初预算数相比增加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“残疾人事业”2024年度决算70.41万元，年初无预算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新增专项转移支付项目残疾人温馨家园运转经费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8.74</w:t>
      </w:r>
      <w:r>
        <w:rPr>
          <w:rFonts w:hint="eastAsia" w:ascii="仿宋_GB2312" w:hAnsi="仿宋_GB2312" w:eastAsia="仿宋_GB2312" w:cs="仿宋_GB2312"/>
          <w:sz w:val="32"/>
          <w:szCs w:val="32"/>
          <w:highlight w:val="none"/>
        </w:rPr>
        <w:t>万元，比2024年度年初预算减少</w:t>
      </w:r>
      <w:r>
        <w:rPr>
          <w:rFonts w:hint="eastAsia" w:ascii="仿宋_GB2312" w:hAnsi="仿宋_GB2312" w:eastAsia="仿宋_GB2312" w:cs="仿宋_GB2312"/>
          <w:sz w:val="32"/>
          <w:szCs w:val="32"/>
          <w:highlight w:val="none"/>
          <w:lang w:val="en-US" w:eastAsia="zh-CN"/>
        </w:rPr>
        <w:t>1.26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12.60</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计划生育事务</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8.74</w:t>
      </w:r>
      <w:r>
        <w:rPr>
          <w:rFonts w:hint="eastAsia" w:ascii="仿宋_GB2312" w:hAnsi="仿宋_GB2312" w:eastAsia="仿宋_GB2312" w:cs="仿宋_GB2312"/>
          <w:sz w:val="32"/>
          <w:szCs w:val="32"/>
          <w:highlight w:val="none"/>
        </w:rPr>
        <w:t>万元，比2024年度年初预算减少</w:t>
      </w:r>
      <w:r>
        <w:rPr>
          <w:rFonts w:hint="eastAsia" w:ascii="仿宋_GB2312" w:hAnsi="仿宋_GB2312" w:eastAsia="仿宋_GB2312" w:cs="仿宋_GB2312"/>
          <w:sz w:val="32"/>
          <w:szCs w:val="32"/>
          <w:highlight w:val="none"/>
          <w:lang w:val="en-US" w:eastAsia="zh-CN"/>
        </w:rPr>
        <w:t>1.26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12.60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村居计生专干补贴及奖励资金实际支出与年初预算数相比减少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节能环保支出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396.06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污染防治</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396.06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新增专项转移支付项目固废细胞工程建设项目、煤改电外电网提升改造去树补偿项目、大城子镇域生态环境治理项目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城乡社区支出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548.98</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257.18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88.14</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城乡社区管理事务</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93.22</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1.42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1.55</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城乡公共事业发展服务（人工补贴）实际支出与年初预算数相比增加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“城乡社区规划与管理”2024年度决算34.59万元，年初无预算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新增专项转移支付项目治违工作经费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“城乡社区公共设施”2024年度决算207.99万元，年初无预算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w:t>
      </w:r>
      <w:r>
        <w:rPr>
          <w:rFonts w:hint="eastAsia" w:ascii="仿宋_GB2312" w:hAnsi="仿宋_GB2312" w:eastAsia="仿宋_GB2312" w:cs="仿宋_GB2312"/>
          <w:sz w:val="32"/>
          <w:szCs w:val="32"/>
          <w:highlight w:val="none"/>
        </w:rPr>
        <w:t>密云区美丽乡村穆家峪镇西穆家峪村等132个村供水及污水前端系统工程。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“城乡社区环境卫生”2024年度决算213.19万元，</w:t>
      </w:r>
      <w:r>
        <w:rPr>
          <w:rFonts w:hint="eastAsia" w:ascii="仿宋_GB2312" w:hAnsi="仿宋_GB2312" w:eastAsia="仿宋_GB2312" w:cs="仿宋_GB2312"/>
          <w:sz w:val="32"/>
          <w:szCs w:val="32"/>
          <w:highlight w:val="none"/>
        </w:rPr>
        <w:t>比2024年度年初预算增加</w:t>
      </w:r>
      <w:r>
        <w:rPr>
          <w:rFonts w:hint="eastAsia" w:ascii="仿宋_GB2312" w:hAnsi="仿宋_GB2312" w:eastAsia="仿宋_GB2312" w:cs="仿宋_GB2312"/>
          <w:sz w:val="32"/>
          <w:szCs w:val="32"/>
          <w:highlight w:val="none"/>
          <w:lang w:val="en-US" w:eastAsia="zh-CN"/>
        </w:rPr>
        <w:t>13.19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6.60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新增专项转移支付项目密云区生活垃圾分类项目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农林水支出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6168.15</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4354.33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240.06</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农业农村</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4386.51</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2572.69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141.84</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新增专项转移支付项目农村公厕管护资金、农村基础设施管护资金、农村太阳能浴室管护资金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“林业和草原”2024年度决算682.99万元，年初无预算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新增专项转移支付项目野生动物肇事补偿及保护项目、平原造林工程市级林木养护资金、山区生态公益林生态补偿金剩余资金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“水利”2024年度决算954.15万元，年初无预算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新增专项转移支付项目密云区大城子镇农村供水水源不足改造工程、河长制奖补资金项目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“其他农林水支出”2024年度决算144.50万元，年初无预算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新增专项转移支付项目疏整促项目工作经费、大城子镇张庄子村遥梨桥改造提升项目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资源勘探工业信息等支出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1787.10</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1681.26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1588.49</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支出中小企业发展和管理支出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1787.10</w:t>
      </w:r>
      <w:r>
        <w:rPr>
          <w:rFonts w:hint="eastAsia" w:ascii="仿宋_GB2312" w:hAnsi="仿宋_GB2312" w:eastAsia="仿宋_GB2312" w:cs="仿宋_GB2312"/>
          <w:sz w:val="32"/>
          <w:szCs w:val="32"/>
          <w:highlight w:val="none"/>
        </w:rPr>
        <w:t>万元，比2024年度年初预算增加</w:t>
      </w:r>
      <w:r>
        <w:rPr>
          <w:rFonts w:hint="eastAsia" w:ascii="仿宋_GB2312" w:hAnsi="仿宋_GB2312" w:eastAsia="仿宋_GB2312" w:cs="仿宋_GB2312"/>
          <w:sz w:val="32"/>
          <w:szCs w:val="32"/>
          <w:highlight w:val="none"/>
          <w:lang w:val="en-US" w:eastAsia="zh-CN"/>
        </w:rPr>
        <w:t>1681.26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1588.49</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支持镇域内注册企业发展扶持资金实际支出增加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灾害防治及应急管理支出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1284.50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应急管理事务</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9.50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新增专项转移支付项目兼职安全生产巡查员岗位津贴项目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“自然灾害救灾及恢复重建支出”2024年度决算1275.00万元，年初无预算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新增专项转移支付项目北京市密云区地质灾害综合治理项目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b w:val="0"/>
          <w:bCs/>
          <w:sz w:val="32"/>
          <w:szCs w:val="32"/>
        </w:rPr>
      </w:pPr>
      <w:r>
        <w:rPr>
          <w:rFonts w:hint="eastAsia" w:ascii="黑体" w:eastAsia="黑体"/>
          <w:b w:val="0"/>
          <w:bCs/>
          <w:sz w:val="32"/>
          <w:szCs w:val="32"/>
        </w:rPr>
        <w:t>五、政府性基金预算财政拨款支出决算情况说明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2024年度政府性基金预算财政拨款支出2845.31万元，</w:t>
      </w:r>
      <w:r>
        <w:rPr>
          <w:rFonts w:hint="eastAsia" w:ascii="仿宋_GB2312" w:hAnsi="仿宋_GB2312" w:eastAsia="仿宋_GB2312" w:cs="仿宋_GB2312"/>
          <w:sz w:val="32"/>
          <w:szCs w:val="32"/>
          <w:highlight w:val="none"/>
        </w:rPr>
        <w:t>主要用于以下方面：城乡社区支出</w:t>
      </w:r>
      <w:r>
        <w:rPr>
          <w:rFonts w:hint="eastAsia" w:ascii="仿宋_GB2312" w:hAnsi="仿宋_GB2312" w:eastAsia="仿宋_GB2312" w:cs="仿宋_GB2312"/>
          <w:sz w:val="32"/>
          <w:szCs w:val="32"/>
          <w:highlight w:val="none"/>
          <w:lang w:val="en-US" w:eastAsia="zh-CN"/>
        </w:rPr>
        <w:t>1685.76</w:t>
      </w:r>
      <w:r>
        <w:rPr>
          <w:rFonts w:hint="eastAsia" w:ascii="仿宋_GB2312" w:hAnsi="仿宋_GB2312" w:eastAsia="仿宋_GB2312" w:cs="仿宋_GB2312"/>
          <w:sz w:val="32"/>
          <w:szCs w:val="32"/>
          <w:highlight w:val="none"/>
        </w:rPr>
        <w:t>万元，占本年</w:t>
      </w:r>
      <w:r>
        <w:rPr>
          <w:rFonts w:hint="eastAsia" w:ascii="仿宋_GB2312" w:hAnsi="仿宋_GB2312" w:eastAsia="仿宋_GB2312" w:cs="仿宋_GB2312"/>
          <w:sz w:val="32"/>
          <w:szCs w:val="32"/>
          <w:highlight w:val="none"/>
          <w:lang w:val="en-US" w:eastAsia="zh-CN"/>
        </w:rPr>
        <w:t>政府性基金预算财政</w:t>
      </w:r>
      <w:r>
        <w:rPr>
          <w:rFonts w:hint="eastAsia" w:ascii="仿宋_GB2312" w:hAnsi="仿宋_GB2312" w:eastAsia="仿宋_GB2312" w:cs="仿宋_GB2312"/>
          <w:sz w:val="32"/>
          <w:szCs w:val="32"/>
          <w:highlight w:val="none"/>
        </w:rPr>
        <w:t>拨款支出</w:t>
      </w:r>
      <w:r>
        <w:rPr>
          <w:rFonts w:hint="eastAsia" w:ascii="仿宋_GB2312" w:hAnsi="仿宋_GB2312" w:eastAsia="仿宋_GB2312" w:cs="仿宋_GB2312"/>
          <w:sz w:val="32"/>
          <w:szCs w:val="32"/>
          <w:highlight w:val="none"/>
          <w:lang w:val="en-US" w:eastAsia="zh-CN"/>
        </w:rPr>
        <w:t>59.25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农林水支出1156.95万元，占本年政府性基金预算财政拨款支出40.66%；其他支出2.59万元，占本年政府性基金预算财政拨款支出0.09%</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（二）政府性基金预算财政拨款支出决算具体情况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城乡社区支出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1685.76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国有土地使用权出让收入安排的支出</w:t>
      </w:r>
      <w:r>
        <w:rPr>
          <w:rFonts w:hint="eastAsia" w:ascii="仿宋_GB2312" w:hAnsi="仿宋_GB2312" w:eastAsia="仿宋_GB2312" w:cs="仿宋_GB2312"/>
          <w:sz w:val="32"/>
          <w:szCs w:val="32"/>
          <w:highlight w:val="none"/>
        </w:rPr>
        <w:t>”2024年度</w:t>
      </w:r>
      <w:r>
        <w:rPr>
          <w:rFonts w:hint="eastAsia" w:ascii="仿宋_GB2312" w:hAnsi="仿宋_GB2312" w:eastAsia="仿宋_GB2312" w:cs="仿宋_GB2312"/>
          <w:sz w:val="32"/>
          <w:szCs w:val="32"/>
          <w:highlight w:val="none"/>
          <w:lang w:val="en-US" w:eastAsia="zh-CN"/>
        </w:rPr>
        <w:t>决算1685.76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新增专项转移支付项目复耕土地流转费、城乡道路占地补偿资金、耕地保护空间复耕土地资金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农林水支出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1156.95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大中型水库移民后期扶持基金支出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1156.95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新增专项转移支付项目大城子镇农村供水设施改造项目、大城子镇农村供水及污水设施改造项目</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其他支出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2.59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彩票公益金安排的支出</w:t>
      </w:r>
      <w:r>
        <w:rPr>
          <w:rFonts w:hint="eastAsia" w:ascii="仿宋_GB2312" w:hAnsi="仿宋_GB2312" w:eastAsia="仿宋_GB2312" w:cs="仿宋_GB2312"/>
          <w:sz w:val="32"/>
          <w:szCs w:val="32"/>
          <w:highlight w:val="none"/>
        </w:rPr>
        <w:t>”2024年度决算</w:t>
      </w:r>
      <w:r>
        <w:rPr>
          <w:rFonts w:hint="eastAsia" w:ascii="仿宋_GB2312" w:hAnsi="仿宋_GB2312" w:eastAsia="仿宋_GB2312" w:cs="仿宋_GB2312"/>
          <w:sz w:val="32"/>
          <w:szCs w:val="32"/>
          <w:highlight w:val="none"/>
          <w:lang w:val="en-US" w:eastAsia="zh-CN"/>
        </w:rPr>
        <w:t>2.59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年初无预算</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新增专项转移支付项目试点探索农村邻里互助养老服务点资金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eastAsia="黑体"/>
          <w:b w:val="0"/>
          <w:bCs/>
          <w:sz w:val="32"/>
          <w:szCs w:val="32"/>
        </w:rPr>
      </w:pPr>
      <w:r>
        <w:rPr>
          <w:rFonts w:hint="eastAsia" w:ascii="黑体" w:eastAsia="黑体"/>
          <w:b w:val="0"/>
          <w:bCs/>
          <w:sz w:val="32"/>
          <w:szCs w:val="32"/>
        </w:rPr>
        <w:t>六、国有资本经营预算财</w:t>
      </w:r>
      <w:r>
        <w:rPr>
          <w:rFonts w:ascii="黑体" w:eastAsia="黑体"/>
          <w:b w:val="0"/>
          <w:bCs/>
          <w:sz w:val="32"/>
          <w:szCs w:val="32"/>
        </w:rPr>
        <w:t>政拨款</w:t>
      </w:r>
      <w:r>
        <w:rPr>
          <w:rFonts w:hint="eastAsia" w:ascii="黑体" w:eastAsia="黑体"/>
          <w:b w:val="0"/>
          <w:bCs/>
          <w:sz w:val="32"/>
          <w:szCs w:val="32"/>
        </w:rPr>
        <w:t>收支情况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本年度无此项支出。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eastAsia="黑体"/>
          <w:b w:val="0"/>
          <w:bCs/>
          <w:sz w:val="32"/>
          <w:szCs w:val="32"/>
        </w:rPr>
      </w:pPr>
      <w:r>
        <w:rPr>
          <w:rFonts w:hint="eastAsia" w:ascii="黑体" w:eastAsia="黑体"/>
          <w:b w:val="0"/>
          <w:bCs/>
          <w:sz w:val="32"/>
          <w:szCs w:val="32"/>
        </w:rPr>
        <w:t>七、财政拨款基本支出决算情况说明</w:t>
      </w:r>
    </w:p>
    <w:p>
      <w:pPr>
        <w:keepNext w:val="0"/>
        <w:keepLines w:val="0"/>
        <w:pageBreakBefore w:val="0"/>
        <w:widowControl w:val="0"/>
        <w:tabs>
          <w:tab w:val="center" w:pos="6979"/>
        </w:tabs>
        <w:kinsoku/>
        <w:wordWrap/>
        <w:overflowPunct/>
        <w:topLinePunct w:val="0"/>
        <w:bidi w:val="0"/>
        <w:snapToGrid/>
        <w:spacing w:line="560" w:lineRule="exact"/>
        <w:ind w:firstLine="640" w:firstLineChars="200"/>
        <w:textAlignment w:val="auto"/>
        <w:rPr>
          <w:rFonts w:hint="default" w:ascii="黑体" w:eastAsia="仿宋_GB2312"/>
          <w:b/>
          <w:sz w:val="32"/>
          <w:szCs w:val="32"/>
          <w:highlight w:val="none"/>
          <w:lang w:val="en-US" w:eastAsia="zh-CN"/>
        </w:rPr>
      </w:pPr>
      <w:r>
        <w:rPr>
          <w:rFonts w:hint="eastAsia" w:ascii="仿宋_GB2312" w:eastAsia="仿宋_GB2312"/>
          <w:sz w:val="32"/>
          <w:szCs w:val="32"/>
          <w:highlight w:val="none"/>
        </w:rPr>
        <w:t>2024年度使用一般公共预算财政拨款安排基本支出</w:t>
      </w:r>
      <w:r>
        <w:rPr>
          <w:rFonts w:ascii="仿宋_GB2312" w:eastAsia="仿宋_GB2312"/>
          <w:sz w:val="32"/>
          <w:szCs w:val="32"/>
          <w:highlight w:val="none"/>
        </w:rPr>
        <w:t>2468.51</w:t>
      </w:r>
      <w:r>
        <w:rPr>
          <w:rFonts w:hint="eastAsia" w:ascii="仿宋_GB2312" w:eastAsia="仿宋_GB2312"/>
          <w:sz w:val="32"/>
          <w:szCs w:val="32"/>
          <w:highlight w:val="none"/>
        </w:rPr>
        <w:t>万元，使用政府性基金财政拨款安排基本支出</w:t>
      </w:r>
      <w:r>
        <w:rPr>
          <w:rFonts w:ascii="仿宋_GB2312" w:eastAsia="仿宋_GB2312"/>
          <w:sz w:val="32"/>
          <w:szCs w:val="32"/>
          <w:highlight w:val="none"/>
        </w:rPr>
        <w:t>0</w:t>
      </w:r>
      <w:r>
        <w:rPr>
          <w:rFonts w:hint="eastAsia" w:ascii="仿宋_GB2312" w:eastAsia="仿宋_GB2312"/>
          <w:sz w:val="32"/>
          <w:szCs w:val="32"/>
          <w:highlight w:val="none"/>
        </w:rPr>
        <w:t>万元，其中：（1）工资福利支出包括基本工资</w:t>
      </w:r>
      <w:r>
        <w:rPr>
          <w:rFonts w:ascii="仿宋_GB2312" w:eastAsia="仿宋_GB2312"/>
          <w:sz w:val="32"/>
          <w:szCs w:val="32"/>
          <w:highlight w:val="none"/>
        </w:rPr>
        <w:t>、津贴补贴、奖金、伙食补助费、绩效工资、</w:t>
      </w:r>
      <w:r>
        <w:rPr>
          <w:rFonts w:hint="eastAsia" w:ascii="仿宋_GB2312" w:eastAsia="仿宋_GB2312"/>
          <w:sz w:val="32"/>
          <w:szCs w:val="32"/>
          <w:highlight w:val="none"/>
        </w:rPr>
        <w:t>其他</w:t>
      </w:r>
      <w:r>
        <w:rPr>
          <w:rFonts w:ascii="仿宋_GB2312" w:eastAsia="仿宋_GB2312"/>
          <w:sz w:val="32"/>
          <w:szCs w:val="32"/>
          <w:highlight w:val="none"/>
        </w:rPr>
        <w:t>社会保障缴费、其他工资福利</w:t>
      </w:r>
      <w:r>
        <w:rPr>
          <w:rFonts w:hint="eastAsia" w:ascii="仿宋_GB2312" w:eastAsia="仿宋_GB2312"/>
          <w:sz w:val="32"/>
          <w:szCs w:val="32"/>
          <w:highlight w:val="none"/>
        </w:rPr>
        <w:t>等</w:t>
      </w:r>
      <w:r>
        <w:rPr>
          <w:rFonts w:ascii="仿宋_GB2312" w:eastAsia="仿宋_GB2312"/>
          <w:sz w:val="32"/>
          <w:szCs w:val="32"/>
          <w:highlight w:val="none"/>
        </w:rPr>
        <w:t>支出</w:t>
      </w:r>
      <w:r>
        <w:rPr>
          <w:rFonts w:hint="eastAsia" w:ascii="仿宋_GB2312" w:eastAsia="仿宋_GB2312"/>
          <w:sz w:val="32"/>
          <w:szCs w:val="32"/>
          <w:highlight w:val="none"/>
        </w:rPr>
        <w:t>；（2）商品和服务支出包括</w:t>
      </w:r>
      <w:r>
        <w:rPr>
          <w:rFonts w:ascii="仿宋_GB2312" w:eastAsia="仿宋_GB2312"/>
          <w:sz w:val="32"/>
          <w:szCs w:val="32"/>
          <w:highlight w:val="none"/>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32"/>
          <w:szCs w:val="32"/>
          <w:highlight w:val="none"/>
        </w:rPr>
        <w:t>等</w:t>
      </w:r>
      <w:r>
        <w:rPr>
          <w:rFonts w:ascii="仿宋_GB2312" w:eastAsia="仿宋_GB2312"/>
          <w:sz w:val="32"/>
          <w:szCs w:val="32"/>
          <w:highlight w:val="none"/>
        </w:rPr>
        <w:t>支出</w:t>
      </w:r>
      <w:r>
        <w:rPr>
          <w:rFonts w:hint="eastAsia" w:ascii="仿宋_GB2312" w:eastAsia="仿宋_GB2312"/>
          <w:sz w:val="32"/>
          <w:szCs w:val="32"/>
          <w:highlight w:val="none"/>
        </w:rPr>
        <w:t>；（3）对个人和家庭补助支出包括</w:t>
      </w:r>
      <w:r>
        <w:rPr>
          <w:rFonts w:ascii="仿宋_GB2312" w:eastAsia="仿宋_GB2312"/>
          <w:sz w:val="32"/>
          <w:szCs w:val="32"/>
          <w:highlight w:val="none"/>
        </w:rPr>
        <w:t>离休费、退休费、抚恤金、生活补助、</w:t>
      </w:r>
      <w:r>
        <w:rPr>
          <w:rFonts w:hint="eastAsia" w:ascii="仿宋_GB2312" w:eastAsia="仿宋_GB2312"/>
          <w:sz w:val="32"/>
          <w:szCs w:val="32"/>
          <w:highlight w:val="none"/>
        </w:rPr>
        <w:t>救济费</w:t>
      </w:r>
      <w:r>
        <w:rPr>
          <w:rFonts w:ascii="仿宋_GB2312" w:eastAsia="仿宋_GB2312"/>
          <w:sz w:val="32"/>
          <w:szCs w:val="32"/>
          <w:highlight w:val="none"/>
        </w:rPr>
        <w:t>、医疗费</w:t>
      </w:r>
      <w:r>
        <w:rPr>
          <w:rFonts w:hint="eastAsia" w:ascii="仿宋_GB2312" w:eastAsia="仿宋_GB2312"/>
          <w:sz w:val="32"/>
          <w:szCs w:val="32"/>
          <w:highlight w:val="none"/>
        </w:rPr>
        <w:t>补助</w:t>
      </w:r>
      <w:r>
        <w:rPr>
          <w:rFonts w:ascii="仿宋_GB2312" w:eastAsia="仿宋_GB2312"/>
          <w:sz w:val="32"/>
          <w:szCs w:val="32"/>
          <w:highlight w:val="none"/>
        </w:rPr>
        <w:t>、助学金、奖励金</w:t>
      </w:r>
      <w:r>
        <w:rPr>
          <w:rFonts w:hint="eastAsia" w:ascii="仿宋_GB2312" w:eastAsia="仿宋_GB2312"/>
          <w:sz w:val="32"/>
          <w:szCs w:val="32"/>
          <w:highlight w:val="none"/>
        </w:rPr>
        <w:t>、</w:t>
      </w:r>
      <w:r>
        <w:rPr>
          <w:rFonts w:ascii="仿宋_GB2312" w:eastAsia="仿宋_GB2312"/>
          <w:sz w:val="32"/>
          <w:szCs w:val="32"/>
          <w:highlight w:val="none"/>
        </w:rPr>
        <w:t>其他对个人和家庭的补助</w:t>
      </w:r>
      <w:r>
        <w:rPr>
          <w:rFonts w:hint="eastAsia" w:ascii="仿宋_GB2312" w:eastAsia="仿宋_GB2312"/>
          <w:sz w:val="32"/>
          <w:szCs w:val="32"/>
          <w:highlight w:val="none"/>
        </w:rPr>
        <w:t>等</w:t>
      </w:r>
      <w:r>
        <w:rPr>
          <w:rFonts w:ascii="仿宋_GB2312" w:eastAsia="仿宋_GB2312"/>
          <w:sz w:val="32"/>
          <w:szCs w:val="32"/>
          <w:highlight w:val="none"/>
        </w:rPr>
        <w:t>支出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（4）其他资本性支出包括</w:t>
      </w:r>
      <w:r>
        <w:rPr>
          <w:rFonts w:ascii="仿宋_GB2312" w:eastAsia="仿宋_GB2312"/>
          <w:sz w:val="32"/>
          <w:szCs w:val="32"/>
          <w:highlight w:val="none"/>
        </w:rPr>
        <w:t>办公设备购置、专用设备购置</w:t>
      </w:r>
      <w:r>
        <w:rPr>
          <w:rFonts w:hint="eastAsia" w:ascii="仿宋_GB2312" w:eastAsia="仿宋_GB2312"/>
          <w:sz w:val="32"/>
          <w:szCs w:val="32"/>
          <w:highlight w:val="none"/>
        </w:rPr>
        <w:t>等</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般公共服务支出：反映本单位的基本支出；（6）公共安全支出：反映本单位与公共安全有关项目的支出；（7）文化旅游体育与传媒支出：反映本单位与文化、旅游、体育有关项目的支出；（8）社会保障和就业支出：反映本单位就业服务中心公益性岗位补贴等项目的支出；（9）卫生健康支出：反映本单位用于开展计划生育等事务的支出；（10）节能环保支出：反映本单位用于污染防治等项目的支出；（11）城乡社区支出：用于本单位城乡社区管理费用、维护公共设施、环境卫生等方面的支出；（12）农林水支出：反映本单位用于农业农村、林业和草原、水利、农村综合改革等项目的支出；（13）资源勘探工业信息等支出：反映本单位用于支持中小企业发展和管理等方面的支出；（14）灾害防治及应急管理支出：反映本单位用于应急管理事务及自然灾害救灾及恢复重建等方面的支出。</w:t>
      </w:r>
    </w:p>
    <w:p>
      <w:pPr>
        <w:keepNext w:val="0"/>
        <w:keepLines w:val="0"/>
        <w:pageBreakBefore w:val="0"/>
        <w:widowControl w:val="0"/>
        <w:tabs>
          <w:tab w:val="center" w:pos="6979"/>
        </w:tabs>
        <w:kinsoku/>
        <w:wordWrap/>
        <w:overflowPunct/>
        <w:topLinePunct w:val="0"/>
        <w:bidi w:val="0"/>
        <w:snapToGrid/>
        <w:spacing w:line="560" w:lineRule="exact"/>
        <w:ind w:firstLine="642" w:firstLineChars="200"/>
        <w:textAlignment w:val="auto"/>
        <w:rPr>
          <w:rFonts w:hint="default" w:ascii="黑体" w:eastAsia="仿宋_GB2312"/>
          <w:b/>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560" w:firstLineChars="200"/>
        <w:jc w:val="center"/>
        <w:textAlignment w:val="auto"/>
        <w:rPr>
          <w:rFonts w:hint="eastAsia" w:ascii="黑体" w:hAnsi="黑体" w:eastAsia="黑体" w:cs="黑体"/>
          <w:b/>
          <w:bCs/>
          <w:spacing w:val="40"/>
          <w:kern w:val="0"/>
          <w:sz w:val="32"/>
          <w:szCs w:val="32"/>
        </w:rPr>
      </w:pPr>
      <w:r>
        <w:rPr>
          <w:rFonts w:ascii="仿宋_GB2312" w:eastAsia="仿宋_GB2312"/>
          <w:sz w:val="28"/>
          <w:szCs w:val="28"/>
        </w:rPr>
        <w:br w:type="page"/>
      </w:r>
      <w:r>
        <w:rPr>
          <w:rFonts w:hint="eastAsia" w:ascii="黑体" w:hAnsi="黑体" w:eastAsia="黑体" w:cs="黑体"/>
          <w:b/>
          <w:bCs/>
          <w:spacing w:val="40"/>
          <w:kern w:val="0"/>
          <w:sz w:val="32"/>
          <w:szCs w:val="32"/>
        </w:rPr>
        <w:t>第三部分</w:t>
      </w:r>
      <w:r>
        <w:rPr>
          <w:rFonts w:hint="eastAsia" w:ascii="黑体" w:hAnsi="黑体" w:eastAsia="黑体" w:cs="黑体"/>
          <w:b/>
          <w:bCs/>
          <w:spacing w:val="40"/>
          <w:sz w:val="32"/>
          <w:szCs w:val="32"/>
        </w:rPr>
        <w:t>2024年度</w:t>
      </w:r>
      <w:r>
        <w:rPr>
          <w:rFonts w:hint="eastAsia" w:ascii="黑体" w:hAnsi="黑体" w:eastAsia="黑体" w:cs="黑体"/>
          <w:b/>
          <w:bCs/>
          <w:spacing w:val="40"/>
          <w:kern w:val="0"/>
          <w:sz w:val="32"/>
          <w:szCs w:val="32"/>
        </w:rPr>
        <w:t>其他重要事项的情况说明</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黑体" w:eastAsia="黑体"/>
          <w:sz w:val="32"/>
          <w:szCs w:val="32"/>
        </w:rPr>
      </w:pPr>
      <w:r>
        <w:rPr>
          <w:rFonts w:hint="eastAsia" w:ascii="黑体" w:eastAsia="黑体"/>
          <w:sz w:val="32"/>
          <w:szCs w:val="32"/>
        </w:rPr>
        <w:t>一、“三公”经费财政拨款决算情况</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“三公”经费包括本单位所属</w:t>
      </w:r>
      <w:r>
        <w:rPr>
          <w:rFonts w:hint="eastAsia" w:ascii="仿宋_GB2312" w:eastAsia="仿宋_GB2312"/>
          <w:bCs/>
          <w:sz w:val="32"/>
          <w:szCs w:val="32"/>
          <w:lang w:val="en-US" w:eastAsia="zh-CN"/>
        </w:rPr>
        <w:t>1</w:t>
      </w:r>
      <w:r>
        <w:rPr>
          <w:rFonts w:hint="eastAsia" w:ascii="仿宋_GB2312" w:eastAsia="仿宋_GB2312"/>
          <w:sz w:val="32"/>
          <w:szCs w:val="32"/>
        </w:rPr>
        <w:t>个行政单位。2024年度“三公”经费财政拨款决算数</w:t>
      </w:r>
      <w:r>
        <w:rPr>
          <w:rFonts w:ascii="仿宋_GB2312" w:eastAsia="仿宋_GB2312"/>
          <w:sz w:val="32"/>
          <w:szCs w:val="32"/>
        </w:rPr>
        <w:t>19.8</w:t>
      </w:r>
      <w:r>
        <w:rPr>
          <w:rFonts w:hint="eastAsia" w:ascii="仿宋_GB2312" w:eastAsia="仿宋_GB2312"/>
          <w:sz w:val="32"/>
          <w:szCs w:val="32"/>
        </w:rPr>
        <w:t>万元，比2024年度“三公”经费财政拨款年初预算</w:t>
      </w:r>
      <w:r>
        <w:rPr>
          <w:rFonts w:ascii="仿宋_GB2312" w:eastAsia="仿宋_GB2312"/>
          <w:sz w:val="32"/>
          <w:szCs w:val="32"/>
        </w:rPr>
        <w:t>26.1</w:t>
      </w:r>
      <w:r>
        <w:rPr>
          <w:rFonts w:hint="eastAsia" w:ascii="仿宋_GB2312" w:eastAsia="仿宋_GB2312"/>
          <w:sz w:val="32"/>
          <w:szCs w:val="32"/>
        </w:rPr>
        <w:t>万元减少</w:t>
      </w:r>
      <w:r>
        <w:rPr>
          <w:rFonts w:ascii="仿宋_GB2312" w:eastAsia="仿宋_GB2312"/>
          <w:sz w:val="32"/>
          <w:szCs w:val="32"/>
        </w:rPr>
        <w:t>6.3</w:t>
      </w:r>
      <w:r>
        <w:rPr>
          <w:rFonts w:hint="eastAsia" w:ascii="仿宋_GB2312" w:eastAsia="仿宋_GB2312"/>
          <w:sz w:val="32"/>
          <w:szCs w:val="32"/>
        </w:rPr>
        <w:t>万元。其中：</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1.因公出国（境）费用。2024年度决算数</w:t>
      </w:r>
      <w:r>
        <w:rPr>
          <w:rFonts w:ascii="仿宋_GB2312" w:eastAsia="仿宋_GB2312"/>
          <w:sz w:val="32"/>
          <w:szCs w:val="32"/>
          <w:highlight w:val="none"/>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与2024年度年初预算数一致</w:t>
      </w:r>
      <w:r>
        <w:rPr>
          <w:rFonts w:hint="eastAsia" w:ascii="仿宋_GB2312" w:eastAsia="仿宋_GB2312"/>
          <w:sz w:val="32"/>
          <w:szCs w:val="32"/>
          <w:highlight w:val="none"/>
        </w:rPr>
        <w:t>。主要原因：</w:t>
      </w:r>
      <w:r>
        <w:rPr>
          <w:rFonts w:hint="eastAsia" w:ascii="仿宋_GB2312" w:eastAsia="仿宋_GB2312"/>
          <w:sz w:val="32"/>
          <w:szCs w:val="32"/>
          <w:highlight w:val="none"/>
          <w:lang w:val="en-US" w:eastAsia="zh-CN"/>
        </w:rPr>
        <w:t>本单位无此项支出</w:t>
      </w:r>
      <w:r>
        <w:rPr>
          <w:rFonts w:hint="eastAsia" w:ascii="仿宋_GB2312" w:eastAsia="仿宋_GB2312"/>
          <w:sz w:val="32"/>
          <w:szCs w:val="32"/>
          <w:highlight w:val="none"/>
        </w:rPr>
        <w:t>。</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2.公务接待费。2024年度决算数</w:t>
      </w:r>
      <w:r>
        <w:rPr>
          <w:rFonts w:ascii="仿宋_GB2312" w:eastAsia="仿宋_GB2312"/>
          <w:sz w:val="32"/>
          <w:szCs w:val="32"/>
          <w:highlight w:val="none"/>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与2024年度年初预算数一致</w:t>
      </w:r>
      <w:r>
        <w:rPr>
          <w:rFonts w:hint="eastAsia" w:ascii="仿宋_GB2312" w:eastAsia="仿宋_GB2312"/>
          <w:sz w:val="32"/>
          <w:szCs w:val="32"/>
          <w:highlight w:val="none"/>
        </w:rPr>
        <w:t>。主要原因：</w:t>
      </w:r>
      <w:r>
        <w:rPr>
          <w:rFonts w:hint="eastAsia" w:ascii="仿宋_GB2312" w:eastAsia="仿宋_GB2312"/>
          <w:sz w:val="32"/>
          <w:szCs w:val="32"/>
          <w:highlight w:val="none"/>
          <w:lang w:val="en-US" w:eastAsia="zh-CN"/>
        </w:rPr>
        <w:t>本单位无此项支出</w:t>
      </w:r>
      <w:r>
        <w:rPr>
          <w:rFonts w:hint="eastAsia" w:ascii="仿宋_GB2312" w:eastAsia="仿宋_GB2312"/>
          <w:sz w:val="32"/>
          <w:szCs w:val="32"/>
          <w:highlight w:val="none"/>
        </w:rPr>
        <w:t>。</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3.公务用车购置及运行维护费。2024年度决算数</w:t>
      </w:r>
      <w:r>
        <w:rPr>
          <w:rFonts w:ascii="仿宋_GB2312" w:eastAsia="仿宋_GB2312"/>
          <w:sz w:val="32"/>
          <w:szCs w:val="32"/>
          <w:highlight w:val="none"/>
        </w:rPr>
        <w:t>19.8</w:t>
      </w:r>
      <w:r>
        <w:rPr>
          <w:rFonts w:hint="eastAsia" w:ascii="仿宋_GB2312" w:eastAsia="仿宋_GB2312"/>
          <w:sz w:val="32"/>
          <w:szCs w:val="32"/>
          <w:highlight w:val="none"/>
        </w:rPr>
        <w:t>万元，比2024年度年初预算数</w:t>
      </w:r>
      <w:r>
        <w:rPr>
          <w:rFonts w:ascii="仿宋_GB2312" w:eastAsia="仿宋_GB2312"/>
          <w:sz w:val="32"/>
          <w:szCs w:val="32"/>
          <w:highlight w:val="none"/>
        </w:rPr>
        <w:t>26.1</w:t>
      </w:r>
      <w:r>
        <w:rPr>
          <w:rFonts w:hint="eastAsia" w:ascii="仿宋_GB2312" w:eastAsia="仿宋_GB2312"/>
          <w:sz w:val="32"/>
          <w:szCs w:val="32"/>
          <w:highlight w:val="none"/>
        </w:rPr>
        <w:t>万元减少</w:t>
      </w:r>
      <w:r>
        <w:rPr>
          <w:rFonts w:ascii="仿宋_GB2312" w:eastAsia="仿宋_GB2312"/>
          <w:sz w:val="32"/>
          <w:szCs w:val="32"/>
          <w:highlight w:val="none"/>
        </w:rPr>
        <w:t>6.3</w:t>
      </w:r>
      <w:r>
        <w:rPr>
          <w:rFonts w:hint="eastAsia" w:ascii="仿宋_GB2312" w:eastAsia="仿宋_GB2312"/>
          <w:sz w:val="32"/>
          <w:szCs w:val="32"/>
          <w:highlight w:val="none"/>
        </w:rPr>
        <w:t>万元。</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其中，公务用车购置费2024年度决算数0万元，</w:t>
      </w:r>
      <w:r>
        <w:rPr>
          <w:rFonts w:hint="eastAsia" w:ascii="仿宋_GB2312" w:eastAsia="仿宋_GB2312"/>
          <w:sz w:val="32"/>
          <w:szCs w:val="32"/>
          <w:highlight w:val="none"/>
          <w:lang w:val="en-US" w:eastAsia="zh-CN"/>
        </w:rPr>
        <w:t>与2024年度年初预算数一致</w:t>
      </w:r>
      <w:r>
        <w:rPr>
          <w:rFonts w:hint="eastAsia" w:ascii="仿宋_GB2312" w:eastAsia="仿宋_GB2312"/>
          <w:sz w:val="32"/>
          <w:szCs w:val="32"/>
          <w:highlight w:val="none"/>
        </w:rPr>
        <w:t>。主要原因：</w:t>
      </w:r>
      <w:r>
        <w:rPr>
          <w:rFonts w:hint="eastAsia" w:ascii="仿宋_GB2312" w:eastAsia="仿宋_GB2312"/>
          <w:sz w:val="32"/>
          <w:szCs w:val="32"/>
          <w:highlight w:val="none"/>
          <w:lang w:val="en-US" w:eastAsia="zh-CN"/>
        </w:rPr>
        <w:t>本单位无此项支出</w:t>
      </w:r>
      <w:r>
        <w:rPr>
          <w:rFonts w:hint="eastAsia" w:ascii="仿宋_GB2312" w:eastAsia="仿宋_GB2312"/>
          <w:sz w:val="32"/>
          <w:szCs w:val="32"/>
          <w:highlight w:val="none"/>
        </w:rPr>
        <w:t>，2024年度购置（更新）0辆，车均购置费</w:t>
      </w:r>
      <w:r>
        <w:rPr>
          <w:rFonts w:ascii="仿宋_GB2312" w:eastAsia="仿宋_GB2312"/>
          <w:sz w:val="32"/>
          <w:szCs w:val="32"/>
          <w:highlight w:val="none"/>
        </w:rPr>
        <w:t>0</w:t>
      </w:r>
      <w:r>
        <w:rPr>
          <w:rFonts w:hint="eastAsia" w:ascii="仿宋_GB2312" w:eastAsia="仿宋_GB2312"/>
          <w:sz w:val="32"/>
          <w:szCs w:val="32"/>
          <w:highlight w:val="none"/>
        </w:rPr>
        <w:t>万元。公务用车运行维护费2024年度决算数19.8万元，比2024年度年初预算数26.1万元减少</w:t>
      </w:r>
      <w:r>
        <w:rPr>
          <w:rFonts w:ascii="仿宋_GB2312" w:eastAsia="仿宋_GB2312"/>
          <w:sz w:val="32"/>
          <w:szCs w:val="32"/>
          <w:highlight w:val="none"/>
        </w:rPr>
        <w:t>6.3</w:t>
      </w:r>
      <w:r>
        <w:rPr>
          <w:rFonts w:hint="eastAsia" w:ascii="仿宋_GB2312" w:eastAsia="仿宋_GB2312"/>
          <w:sz w:val="32"/>
          <w:szCs w:val="32"/>
          <w:highlight w:val="none"/>
        </w:rPr>
        <w:t>万元，主要原因：</w:t>
      </w:r>
      <w:r>
        <w:rPr>
          <w:rFonts w:hint="eastAsia" w:ascii="仿宋_GB2312" w:eastAsia="仿宋_GB2312"/>
          <w:sz w:val="32"/>
          <w:szCs w:val="32"/>
          <w:highlight w:val="none"/>
          <w:lang w:val="en-US" w:eastAsia="zh-CN"/>
        </w:rPr>
        <w:t>厉行勤俭节约要求</w:t>
      </w:r>
      <w:r>
        <w:rPr>
          <w:rFonts w:hint="eastAsia" w:ascii="仿宋_GB2312" w:eastAsia="仿宋_GB2312"/>
          <w:sz w:val="32"/>
          <w:szCs w:val="32"/>
          <w:highlight w:val="none"/>
        </w:rPr>
        <w:t>。2024年度公务用车运行维护费中，公务用车加油</w:t>
      </w:r>
      <w:r>
        <w:rPr>
          <w:rFonts w:ascii="仿宋_GB2312" w:eastAsia="仿宋_GB2312"/>
          <w:sz w:val="32"/>
          <w:szCs w:val="32"/>
          <w:highlight w:val="none"/>
        </w:rPr>
        <w:t>12</w:t>
      </w:r>
      <w:r>
        <w:rPr>
          <w:rFonts w:hint="eastAsia" w:ascii="仿宋_GB2312" w:eastAsia="仿宋_GB2312"/>
          <w:sz w:val="32"/>
          <w:szCs w:val="32"/>
          <w:highlight w:val="none"/>
        </w:rPr>
        <w:t>万元，公务用车维修</w:t>
      </w:r>
      <w:r>
        <w:rPr>
          <w:rFonts w:ascii="仿宋_GB2312" w:eastAsia="仿宋_GB2312"/>
          <w:sz w:val="32"/>
          <w:szCs w:val="32"/>
          <w:highlight w:val="none"/>
        </w:rPr>
        <w:t>5.22</w:t>
      </w:r>
      <w:r>
        <w:rPr>
          <w:rFonts w:hint="eastAsia" w:ascii="仿宋_GB2312" w:eastAsia="仿宋_GB2312"/>
          <w:sz w:val="32"/>
          <w:szCs w:val="32"/>
          <w:highlight w:val="none"/>
        </w:rPr>
        <w:t>万元，公务用车保险</w:t>
      </w:r>
      <w:r>
        <w:rPr>
          <w:rFonts w:ascii="仿宋_GB2312" w:eastAsia="仿宋_GB2312"/>
          <w:sz w:val="32"/>
          <w:szCs w:val="32"/>
          <w:highlight w:val="none"/>
        </w:rPr>
        <w:t>2.58</w:t>
      </w:r>
      <w:r>
        <w:rPr>
          <w:rFonts w:hint="eastAsia" w:ascii="仿宋_GB2312" w:eastAsia="仿宋_GB2312"/>
          <w:sz w:val="32"/>
          <w:szCs w:val="32"/>
          <w:highlight w:val="none"/>
        </w:rPr>
        <w:t>万元，公务用车其他支出</w:t>
      </w:r>
      <w:r>
        <w:rPr>
          <w:rFonts w:ascii="仿宋_GB2312" w:eastAsia="仿宋_GB2312"/>
          <w:sz w:val="32"/>
          <w:szCs w:val="32"/>
          <w:highlight w:val="none"/>
        </w:rPr>
        <w:t>0</w:t>
      </w:r>
      <w:r>
        <w:rPr>
          <w:rFonts w:hint="eastAsia" w:ascii="仿宋_GB2312" w:eastAsia="仿宋_GB2312"/>
          <w:sz w:val="32"/>
          <w:szCs w:val="32"/>
          <w:highlight w:val="none"/>
        </w:rPr>
        <w:t>万元。2024年度公务用车保有量</w:t>
      </w:r>
      <w:r>
        <w:rPr>
          <w:rFonts w:ascii="仿宋_GB2312" w:eastAsia="仿宋_GB2312"/>
          <w:sz w:val="32"/>
          <w:szCs w:val="32"/>
          <w:highlight w:val="none"/>
        </w:rPr>
        <w:t>1</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辆，车均运行维护费</w:t>
      </w:r>
      <w:r>
        <w:rPr>
          <w:rFonts w:ascii="仿宋_GB2312" w:eastAsia="仿宋_GB2312"/>
          <w:sz w:val="32"/>
          <w:szCs w:val="32"/>
          <w:highlight w:val="none"/>
        </w:rPr>
        <w:t>1.</w:t>
      </w:r>
      <w:r>
        <w:rPr>
          <w:rFonts w:hint="eastAsia" w:ascii="仿宋_GB2312" w:eastAsia="仿宋_GB2312"/>
          <w:sz w:val="32"/>
          <w:szCs w:val="32"/>
          <w:highlight w:val="none"/>
          <w:lang w:val="en-US" w:eastAsia="zh-CN"/>
        </w:rPr>
        <w:t>41</w:t>
      </w:r>
      <w:r>
        <w:rPr>
          <w:rFonts w:hint="eastAsia" w:ascii="仿宋_GB2312" w:eastAsia="仿宋_GB2312"/>
          <w:sz w:val="32"/>
          <w:szCs w:val="32"/>
          <w:highlight w:val="none"/>
        </w:rPr>
        <w:t>万元。</w:t>
      </w:r>
    </w:p>
    <w:p>
      <w:pPr>
        <w:keepNext w:val="0"/>
        <w:keepLines w:val="0"/>
        <w:pageBreakBefore w:val="0"/>
        <w:widowControl w:val="0"/>
        <w:tabs>
          <w:tab w:val="center" w:pos="6979"/>
        </w:tabs>
        <w:kinsoku/>
        <w:wordWrap/>
        <w:overflowPunct/>
        <w:topLinePunct w:val="0"/>
        <w:bidi w:val="0"/>
        <w:snapToGrid/>
        <w:spacing w:line="560" w:lineRule="exact"/>
        <w:ind w:left="0" w:firstLine="640" w:firstLineChars="200"/>
        <w:textAlignment w:val="auto"/>
        <w:rPr>
          <w:rFonts w:ascii="黑体" w:eastAsia="黑体"/>
          <w:sz w:val="32"/>
          <w:szCs w:val="32"/>
        </w:rPr>
      </w:pPr>
      <w:r>
        <w:rPr>
          <w:rFonts w:hint="eastAsia" w:ascii="黑体" w:eastAsia="黑体"/>
          <w:sz w:val="32"/>
          <w:szCs w:val="32"/>
        </w:rPr>
        <w:t>二、机关运行经费支出情况</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2024年度使用财政拨款安排的基本支出中的日常公用经费支出，合计</w:t>
      </w:r>
      <w:r>
        <w:rPr>
          <w:rFonts w:hint="eastAsia" w:ascii="仿宋_GB2312" w:hAnsi="仿宋_GB2312" w:eastAsia="仿宋_GB2312" w:cs="仿宋_GB2312"/>
          <w:sz w:val="32"/>
          <w:szCs w:val="32"/>
          <w:highlight w:val="none"/>
          <w:lang w:val="en-US" w:eastAsia="zh-CN"/>
        </w:rPr>
        <w:t>163.91</w:t>
      </w:r>
      <w:r>
        <w:rPr>
          <w:rFonts w:hint="eastAsia" w:ascii="仿宋_GB2312" w:hAnsi="仿宋_GB2312" w:eastAsia="仿宋_GB2312" w:cs="仿宋_GB2312"/>
          <w:sz w:val="32"/>
          <w:szCs w:val="32"/>
          <w:highlight w:val="none"/>
        </w:rPr>
        <w:t>万元，比上年增加</w:t>
      </w:r>
      <w:r>
        <w:rPr>
          <w:rFonts w:hint="eastAsia" w:ascii="仿宋_GB2312" w:hAnsi="仿宋_GB2312" w:eastAsia="仿宋_GB2312" w:cs="仿宋_GB2312"/>
          <w:sz w:val="32"/>
          <w:szCs w:val="32"/>
          <w:highlight w:val="none"/>
          <w:lang w:val="en-US" w:eastAsia="zh-CN"/>
        </w:rPr>
        <w:t>13.78</w:t>
      </w:r>
      <w:r>
        <w:rPr>
          <w:rFonts w:hint="eastAsia" w:ascii="仿宋_GB2312" w:hAnsi="仿宋_GB2312" w:eastAsia="仿宋_GB2312" w:cs="仿宋_GB2312"/>
          <w:sz w:val="32"/>
          <w:szCs w:val="32"/>
          <w:highlight w:val="none"/>
        </w:rPr>
        <w:t>万元，增加原因：</w:t>
      </w:r>
      <w:r>
        <w:rPr>
          <w:rFonts w:hint="eastAsia" w:ascii="仿宋_GB2312" w:hAnsi="仿宋_GB2312" w:eastAsia="仿宋_GB2312" w:cs="仿宋_GB2312"/>
          <w:sz w:val="32"/>
          <w:szCs w:val="32"/>
          <w:highlight w:val="none"/>
          <w:lang w:val="en-US" w:eastAsia="zh-CN"/>
        </w:rPr>
        <w:t>2024年度培训费较2023年度相比增加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黑体" w:eastAsia="黑体"/>
          <w:sz w:val="32"/>
          <w:szCs w:val="32"/>
        </w:rPr>
      </w:pPr>
      <w:r>
        <w:rPr>
          <w:rFonts w:hint="eastAsia" w:ascii="黑体" w:eastAsia="黑体"/>
          <w:sz w:val="32"/>
          <w:szCs w:val="32"/>
        </w:rPr>
        <w:t>三、政府采购支出情况</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highlight w:val="yellow"/>
        </w:rPr>
      </w:pPr>
      <w:r>
        <w:rPr>
          <w:rFonts w:hint="eastAsia" w:ascii="仿宋_GB2312" w:eastAsia="仿宋_GB2312"/>
          <w:sz w:val="32"/>
          <w:szCs w:val="32"/>
        </w:rPr>
        <w:t>2024年度政府采购支出总额</w:t>
      </w:r>
      <w:r>
        <w:rPr>
          <w:rFonts w:ascii="仿宋_GB2312" w:eastAsia="仿宋_GB2312"/>
          <w:sz w:val="32"/>
          <w:szCs w:val="32"/>
        </w:rPr>
        <w:t>2091.84</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无此项支出</w:t>
      </w:r>
      <w:r>
        <w:rPr>
          <w:rFonts w:hint="eastAsia" w:ascii="仿宋_GB2312" w:eastAsia="仿宋_GB2312"/>
          <w:sz w:val="32"/>
          <w:szCs w:val="32"/>
          <w:lang w:eastAsia="zh-CN"/>
        </w:rPr>
        <w:t>）</w:t>
      </w:r>
      <w:r>
        <w:rPr>
          <w:rFonts w:hint="eastAsia" w:ascii="仿宋_GB2312" w:eastAsia="仿宋_GB2312"/>
          <w:sz w:val="32"/>
          <w:szCs w:val="32"/>
        </w:rPr>
        <w:t>，政府采购工程支出</w:t>
      </w:r>
      <w:r>
        <w:rPr>
          <w:rFonts w:ascii="仿宋_GB2312" w:eastAsia="仿宋_GB2312"/>
          <w:sz w:val="32"/>
          <w:szCs w:val="32"/>
        </w:rPr>
        <w:t>2077.82</w:t>
      </w:r>
      <w:r>
        <w:rPr>
          <w:rFonts w:hint="eastAsia" w:ascii="仿宋_GB2312" w:eastAsia="仿宋_GB2312"/>
          <w:sz w:val="32"/>
          <w:szCs w:val="32"/>
        </w:rPr>
        <w:t>万元，政府采购服务支出</w:t>
      </w:r>
      <w:r>
        <w:rPr>
          <w:rFonts w:ascii="仿宋_GB2312" w:eastAsia="仿宋_GB2312"/>
          <w:sz w:val="32"/>
          <w:szCs w:val="32"/>
        </w:rPr>
        <w:t>14.02</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无此项支出</w:t>
      </w:r>
      <w:r>
        <w:rPr>
          <w:rFonts w:hint="eastAsia" w:ascii="仿宋_GB2312" w:eastAsia="仿宋_GB2312"/>
          <w:sz w:val="32"/>
          <w:szCs w:val="32"/>
          <w:lang w:eastAsia="zh-CN"/>
        </w:rPr>
        <w:t>）</w:t>
      </w:r>
      <w:r>
        <w:rPr>
          <w:rFonts w:hint="eastAsia" w:ascii="仿宋_GB2312" w:eastAsia="仿宋_GB2312"/>
          <w:sz w:val="32"/>
          <w:szCs w:val="32"/>
        </w:rPr>
        <w:t>，占政府采购支出总额的0</w:t>
      </w:r>
      <w:r>
        <w:rPr>
          <w:rFonts w:hint="eastAsia" w:ascii="仿宋_GB2312" w:eastAsia="仿宋_GB2312"/>
          <w:sz w:val="32"/>
          <w:szCs w:val="32"/>
          <w:lang w:val="en-US" w:eastAsia="zh-CN"/>
        </w:rPr>
        <w:t>.00</w:t>
      </w:r>
      <w:r>
        <w:rPr>
          <w:rFonts w:hint="eastAsia" w:ascii="仿宋_GB2312" w:eastAsia="仿宋_GB2312"/>
          <w:sz w:val="32"/>
          <w:szCs w:val="32"/>
        </w:rPr>
        <w:t>%，其中：授予小微企业合同金额0</w:t>
      </w:r>
      <w:r>
        <w:rPr>
          <w:rFonts w:hint="eastAsia" w:ascii="仿宋_GB2312" w:eastAsia="仿宋_GB2312"/>
          <w:sz w:val="32"/>
          <w:szCs w:val="32"/>
          <w:lang w:val="en-US" w:eastAsia="zh-CN"/>
        </w:rPr>
        <w:t>.00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无此项支出</w:t>
      </w:r>
      <w:r>
        <w:rPr>
          <w:rFonts w:hint="eastAsia" w:ascii="仿宋_GB2312" w:eastAsia="仿宋_GB2312"/>
          <w:sz w:val="32"/>
          <w:szCs w:val="32"/>
          <w:lang w:eastAsia="zh-CN"/>
        </w:rPr>
        <w:t>）</w:t>
      </w:r>
      <w:r>
        <w:rPr>
          <w:rFonts w:hint="eastAsia" w:ascii="仿宋_GB2312" w:eastAsia="仿宋_GB2312"/>
          <w:sz w:val="32"/>
          <w:szCs w:val="32"/>
        </w:rPr>
        <w:t>，占政府采购支出总额的</w:t>
      </w:r>
      <w:r>
        <w:rPr>
          <w:rFonts w:ascii="仿宋_GB2312" w:eastAsia="仿宋_GB2312"/>
          <w:sz w:val="32"/>
          <w:szCs w:val="32"/>
        </w:rPr>
        <w:t>0</w:t>
      </w:r>
      <w:r>
        <w:rPr>
          <w:rFonts w:hint="eastAsia" w:ascii="仿宋_GB2312" w:eastAsia="仿宋_GB2312"/>
          <w:sz w:val="32"/>
          <w:szCs w:val="32"/>
          <w:lang w:val="en-US" w:eastAsia="zh-CN"/>
        </w:rPr>
        <w:t>.00</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黑体" w:eastAsia="黑体"/>
          <w:sz w:val="32"/>
          <w:szCs w:val="32"/>
          <w:highlight w:val="yellow"/>
        </w:rPr>
      </w:pPr>
      <w:r>
        <w:rPr>
          <w:rFonts w:hint="eastAsia" w:ascii="黑体" w:eastAsia="黑体"/>
          <w:sz w:val="32"/>
          <w:szCs w:val="32"/>
        </w:rPr>
        <w:t>四、国有资产占用情况</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2024年度</w:t>
      </w:r>
      <w:r>
        <w:rPr>
          <w:rFonts w:hint="eastAsia" w:ascii="仿宋_GB2312" w:eastAsia="仿宋_GB2312"/>
          <w:sz w:val="32"/>
          <w:szCs w:val="32"/>
          <w:highlight w:val="none"/>
          <w:lang w:val="en-US" w:eastAsia="zh-CN"/>
        </w:rPr>
        <w:t>无新购置车辆及新购置单位价值100万元（含）以上的设备。</w:t>
      </w:r>
      <w:r>
        <w:rPr>
          <w:rFonts w:hint="eastAsia" w:ascii="仿宋_GB2312" w:eastAsia="仿宋_GB2312"/>
          <w:sz w:val="32"/>
          <w:szCs w:val="32"/>
          <w:highlight w:val="none"/>
        </w:rPr>
        <w:t>截至12月31日，</w:t>
      </w:r>
      <w:r>
        <w:rPr>
          <w:rFonts w:hint="eastAsia" w:ascii="仿宋_GB2312" w:eastAsia="仿宋_GB2312"/>
          <w:sz w:val="32"/>
          <w:szCs w:val="32"/>
          <w:highlight w:val="none"/>
          <w:lang w:val="en-US" w:eastAsia="zh-CN"/>
        </w:rPr>
        <w:t>我单位</w:t>
      </w:r>
      <w:r>
        <w:rPr>
          <w:rFonts w:hint="eastAsia" w:ascii="仿宋_GB2312" w:eastAsia="仿宋_GB2312"/>
          <w:sz w:val="32"/>
          <w:szCs w:val="32"/>
          <w:highlight w:val="none"/>
        </w:rPr>
        <w:t>共有车辆</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台，共计</w:t>
      </w:r>
      <w:r>
        <w:rPr>
          <w:rFonts w:hint="eastAsia" w:ascii="仿宋_GB2312" w:eastAsia="仿宋_GB2312"/>
          <w:sz w:val="32"/>
          <w:szCs w:val="32"/>
          <w:highlight w:val="none"/>
          <w:lang w:val="en-US" w:eastAsia="zh-CN"/>
        </w:rPr>
        <w:t>321.77</w:t>
      </w:r>
      <w:r>
        <w:rPr>
          <w:rFonts w:hint="eastAsia" w:ascii="仿宋_GB2312" w:eastAsia="仿宋_GB2312"/>
          <w:sz w:val="32"/>
          <w:szCs w:val="32"/>
          <w:highlight w:val="none"/>
        </w:rPr>
        <w:t>万元；单位价值100万元（含）以上的设备</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台（套），共计</w:t>
      </w:r>
      <w:r>
        <w:rPr>
          <w:rFonts w:hint="eastAsia" w:ascii="仿宋_GB2312" w:eastAsia="仿宋_GB2312"/>
          <w:sz w:val="32"/>
          <w:szCs w:val="32"/>
          <w:highlight w:val="none"/>
          <w:lang w:val="en-US" w:eastAsia="zh-CN"/>
        </w:rPr>
        <w:t>0.00</w:t>
      </w:r>
      <w:r>
        <w:rPr>
          <w:rFonts w:hint="eastAsia" w:ascii="仿宋_GB2312" w:eastAsia="仿宋_GB2312"/>
          <w:sz w:val="32"/>
          <w:szCs w:val="32"/>
          <w:highlight w:val="none"/>
        </w:rPr>
        <w:t>万元。</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黑体" w:eastAsia="黑体"/>
          <w:sz w:val="32"/>
          <w:szCs w:val="32"/>
        </w:rPr>
      </w:pPr>
      <w:r>
        <w:rPr>
          <w:rFonts w:hint="eastAsia" w:ascii="黑体" w:eastAsia="黑体"/>
          <w:sz w:val="32"/>
          <w:szCs w:val="32"/>
        </w:rPr>
        <w:t>五</w:t>
      </w:r>
      <w:r>
        <w:rPr>
          <w:rFonts w:ascii="黑体" w:eastAsia="黑体"/>
          <w:sz w:val="32"/>
          <w:szCs w:val="32"/>
        </w:rPr>
        <w:t>、政府购买服务</w:t>
      </w:r>
      <w:r>
        <w:rPr>
          <w:rFonts w:hint="eastAsia" w:ascii="黑体" w:eastAsia="黑体"/>
          <w:sz w:val="32"/>
          <w:szCs w:val="32"/>
        </w:rPr>
        <w:t>支出</w:t>
      </w:r>
      <w:r>
        <w:rPr>
          <w:rFonts w:ascii="黑体" w:eastAsia="黑体"/>
          <w:sz w:val="32"/>
          <w:szCs w:val="32"/>
        </w:rPr>
        <w:t>说明</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2024年度</w:t>
      </w:r>
      <w:r>
        <w:rPr>
          <w:rFonts w:ascii="仿宋_GB2312" w:eastAsia="仿宋_GB2312"/>
          <w:sz w:val="32"/>
          <w:szCs w:val="32"/>
        </w:rPr>
        <w:t>政府购买服务决算95.22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均为后勤服务支出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560" w:lineRule="exact"/>
        <w:ind w:left="0" w:firstLine="640" w:firstLineChars="200"/>
        <w:jc w:val="left"/>
        <w:textAlignment w:val="auto"/>
        <w:rPr>
          <w:rFonts w:ascii="仿宋_GB2312" w:eastAsia="仿宋_GB2312"/>
          <w:color w:val="000000"/>
          <w:sz w:val="32"/>
          <w:szCs w:val="32"/>
        </w:rPr>
      </w:pPr>
      <w:r>
        <w:rPr>
          <w:rFonts w:hint="eastAsia" w:ascii="黑体" w:eastAsia="黑体"/>
          <w:sz w:val="32"/>
          <w:szCs w:val="32"/>
        </w:rPr>
        <w:t>六、</w:t>
      </w:r>
      <w:r>
        <w:rPr>
          <w:rFonts w:ascii="黑体" w:eastAsia="黑体"/>
          <w:sz w:val="32"/>
          <w:szCs w:val="32"/>
        </w:rPr>
        <w:t>专业名词解释</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1.基本支出：指为保障机构正常运转、完成日常工作任务而发生的人员支出和公用支出。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2.项目支出：指在基本支出之外为完成特定行政任务或事业发展目标所发生的支出。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hAnsi="宋体" w:eastAsia="仿宋_GB2312"/>
          <w:sz w:val="32"/>
          <w:szCs w:val="32"/>
        </w:rPr>
      </w:pPr>
      <w:r>
        <w:rPr>
          <w:rFonts w:hint="eastAsia" w:ascii="仿宋_GB2312" w:eastAsia="仿宋_GB2312"/>
          <w:sz w:val="32"/>
          <w:szCs w:val="32"/>
        </w:rPr>
        <w:t>3.“三公”经费：</w:t>
      </w:r>
      <w:r>
        <w:rPr>
          <w:rFonts w:hint="eastAsia" w:ascii="仿宋_GB2312" w:hAnsi="宋体" w:eastAsia="仿宋_GB2312"/>
          <w:sz w:val="32"/>
          <w:szCs w:val="32"/>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hAnsi="宋体"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机关运行经费：</w:t>
      </w:r>
      <w:r>
        <w:rPr>
          <w:rFonts w:hint="eastAsia" w:ascii="仿宋_GB2312" w:hAnsi="宋体" w:eastAsia="仿宋_GB2312"/>
          <w:sz w:val="32"/>
          <w:szCs w:val="32"/>
        </w:rPr>
        <w:t>指为</w:t>
      </w:r>
      <w:r>
        <w:rPr>
          <w:rFonts w:ascii="仿宋_GB2312" w:hAnsi="宋体" w:eastAsia="仿宋_GB2312"/>
          <w:sz w:val="32"/>
          <w:szCs w:val="32"/>
        </w:rPr>
        <w:t>保障</w:t>
      </w:r>
      <w:r>
        <w:rPr>
          <w:rFonts w:hint="eastAsia" w:ascii="仿宋_GB2312" w:hAnsi="宋体" w:eastAsia="仿宋_GB2312"/>
          <w:sz w:val="32"/>
          <w:szCs w:val="32"/>
        </w:rPr>
        <w:t>行政单位（含参照公务员法管理事业单位）运行用于</w:t>
      </w:r>
      <w:r>
        <w:rPr>
          <w:rFonts w:ascii="仿宋_GB2312" w:hAnsi="宋体" w:eastAsia="仿宋_GB2312"/>
          <w:sz w:val="32"/>
          <w:szCs w:val="32"/>
        </w:rPr>
        <w:t>购买货物和服务的各项资金</w:t>
      </w:r>
      <w:r>
        <w:rPr>
          <w:rFonts w:hint="eastAsia" w:ascii="仿宋_GB2312" w:hAnsi="宋体" w:eastAsia="仿宋_GB2312"/>
          <w:sz w:val="32"/>
          <w:szCs w:val="32"/>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政府采购</w:t>
      </w:r>
      <w:r>
        <w:rPr>
          <w:rFonts w:ascii="仿宋_GB2312" w:eastAsia="仿宋_GB2312"/>
          <w:sz w:val="32"/>
          <w:szCs w:val="32"/>
        </w:rPr>
        <w:t>：</w:t>
      </w:r>
      <w:r>
        <w:rPr>
          <w:rFonts w:hint="eastAsia" w:ascii="仿宋_GB2312" w:eastAsia="仿宋_GB2312"/>
          <w:sz w:val="32"/>
          <w:szCs w:val="32"/>
        </w:rPr>
        <w:t>指</w:t>
      </w:r>
      <w:r>
        <w:rPr>
          <w:rFonts w:ascii="仿宋_GB2312" w:eastAsia="仿宋_GB2312"/>
          <w:sz w:val="32"/>
          <w:szCs w:val="32"/>
        </w:rPr>
        <w:t>各级国家机关、事业单位和团体组织，使用</w:t>
      </w:r>
      <w:r>
        <w:rPr>
          <w:rFonts w:hint="eastAsia" w:ascii="仿宋_GB2312" w:eastAsia="仿宋_GB2312"/>
          <w:sz w:val="32"/>
          <w:szCs w:val="32"/>
        </w:rPr>
        <w:t>财政性</w:t>
      </w:r>
      <w:r>
        <w:rPr>
          <w:rFonts w:ascii="仿宋_GB2312" w:eastAsia="仿宋_GB2312"/>
          <w:sz w:val="32"/>
          <w:szCs w:val="32"/>
        </w:rPr>
        <w:t>资金采购依法制定的集中目录以内的或者采购限额标准以上的货物、工程和服务的行为</w:t>
      </w:r>
      <w:r>
        <w:rPr>
          <w:rFonts w:hint="eastAsia" w:ascii="仿宋_GB2312" w:eastAsia="仿宋_GB2312"/>
          <w:sz w:val="32"/>
          <w:szCs w:val="32"/>
        </w:rPr>
        <w:t>，</w:t>
      </w:r>
      <w:r>
        <w:rPr>
          <w:rFonts w:ascii="仿宋_GB2312" w:eastAsia="仿宋_GB2312"/>
          <w:sz w:val="32"/>
          <w:szCs w:val="32"/>
        </w:rPr>
        <w:t>是规范财政支出管理和强化预算约束的有效措施。</w:t>
      </w:r>
    </w:p>
    <w:p>
      <w:pPr>
        <w:keepNext w:val="0"/>
        <w:keepLines w:val="0"/>
        <w:pageBreakBefore w:val="0"/>
        <w:widowControl w:val="0"/>
        <w:kinsoku/>
        <w:wordWrap/>
        <w:overflowPunct/>
        <w:topLinePunct w:val="0"/>
        <w:bidi w:val="0"/>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.政府购买服务：</w:t>
      </w:r>
      <w:r>
        <w:rPr>
          <w:rFonts w:hint="eastAsia" w:ascii="仿宋_GB2312" w:eastAsia="仿宋_GB2312"/>
          <w:sz w:val="32"/>
          <w:szCs w:val="32"/>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ascii="仿宋_GB2312" w:eastAsia="仿宋_GB2312"/>
          <w:b w:val="0"/>
          <w:bCs/>
          <w:color w:val="000000"/>
          <w:spacing w:val="-2"/>
          <w:sz w:val="32"/>
          <w:szCs w:val="32"/>
          <w:highlight w:val="none"/>
        </w:rPr>
      </w:pPr>
      <w:r>
        <w:rPr>
          <w:rFonts w:hint="eastAsia" w:ascii="仿宋_GB2312" w:eastAsia="仿宋_GB2312"/>
          <w:b w:val="0"/>
          <w:bCs/>
          <w:color w:val="000000"/>
          <w:spacing w:val="-2"/>
          <w:sz w:val="32"/>
          <w:szCs w:val="32"/>
          <w:highlight w:val="none"/>
        </w:rPr>
        <w:t>7.</w:t>
      </w:r>
      <w:r>
        <w:rPr>
          <w:rFonts w:hint="eastAsia" w:ascii="仿宋_GB2312" w:eastAsia="仿宋_GB2312"/>
          <w:b w:val="0"/>
          <w:bCs/>
          <w:color w:val="000000"/>
          <w:spacing w:val="-2"/>
          <w:sz w:val="32"/>
          <w:szCs w:val="32"/>
          <w:highlight w:val="none"/>
          <w:lang w:val="en-US" w:eastAsia="zh-CN"/>
        </w:rPr>
        <w:t>本单位2024年度</w:t>
      </w:r>
      <w:r>
        <w:rPr>
          <w:rFonts w:hint="eastAsia" w:ascii="仿宋_GB2312" w:eastAsia="仿宋_GB2312"/>
          <w:b w:val="0"/>
          <w:bCs/>
          <w:color w:val="000000"/>
          <w:spacing w:val="-2"/>
          <w:sz w:val="32"/>
          <w:szCs w:val="32"/>
          <w:highlight w:val="none"/>
        </w:rPr>
        <w:t>使用支出功能分类科目名词解释</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一般公共服务支出（类）人大事务（款）</w:t>
      </w:r>
      <w:r>
        <w:rPr>
          <w:rFonts w:hint="eastAsia" w:ascii="仿宋_GB2312" w:eastAsia="仿宋_GB2312"/>
          <w:b w:val="0"/>
          <w:bCs/>
          <w:color w:val="000000"/>
          <w:spacing w:val="-2"/>
          <w:sz w:val="32"/>
          <w:szCs w:val="32"/>
          <w:highlight w:val="none"/>
          <w:lang w:val="en-US" w:eastAsia="zh-CN"/>
        </w:rPr>
        <w:t>其他人大事务支出</w:t>
      </w:r>
      <w:r>
        <w:rPr>
          <w:rFonts w:hint="eastAsia" w:ascii="仿宋_GB2312" w:eastAsia="仿宋_GB2312"/>
          <w:b w:val="0"/>
          <w:bCs/>
          <w:color w:val="000000"/>
          <w:spacing w:val="-2"/>
          <w:sz w:val="32"/>
          <w:szCs w:val="32"/>
          <w:highlight w:val="none"/>
        </w:rPr>
        <w:t>（项）：反映</w:t>
      </w:r>
      <w:r>
        <w:rPr>
          <w:rFonts w:hint="eastAsia" w:ascii="仿宋_GB2312" w:eastAsia="仿宋_GB2312"/>
          <w:b w:val="0"/>
          <w:bCs/>
          <w:color w:val="000000"/>
          <w:spacing w:val="-2"/>
          <w:sz w:val="32"/>
          <w:szCs w:val="32"/>
          <w:highlight w:val="none"/>
          <w:lang w:val="en-US" w:eastAsia="zh-CN"/>
        </w:rPr>
        <w:t>除后勤服务、立法、开展监督、提高履职能力、处理来信来访等项目以外的其他人大事务支出。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政府办公厅（室）及相关机构事务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行政运行</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反映行政单位的基本支出。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default"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统计信息事务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专项普查活动</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反映统计部门开展人口普查、经济普查、农业普查、投入产出调查等周期性普查工作的支出。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default"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统计信息事务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统计抽样调查</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反映统计抽样调查队开展各类统计调查工作的支出。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default"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纪检监察事务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其他纪检监察事务支出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反映除查处大要（专）案、派驻各部门和单位的纪检监察人员等项目以外其他纪检监察事务方面的支出。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default"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民主党派及工商联事务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其他民主党派及工商联事务支出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反映除各民主党派为参政议政进行的调研、会议、检查等项目以外其他用于民主党派及工商联事务方面的支出。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组织事务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一般行政管理事务</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反映行政单位未单独设置项级科目的与中国共产党组织部门有关的其他项目支出。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rPr>
        <w:t>一般公共服务支出（类）</w:t>
      </w:r>
      <w:r>
        <w:rPr>
          <w:rFonts w:hint="eastAsia" w:ascii="仿宋_GB2312" w:eastAsia="仿宋_GB2312"/>
          <w:b w:val="0"/>
          <w:bCs/>
          <w:color w:val="000000"/>
          <w:spacing w:val="-2"/>
          <w:sz w:val="32"/>
          <w:szCs w:val="32"/>
          <w:highlight w:val="none"/>
          <w:lang w:val="en-US" w:eastAsia="zh-CN"/>
        </w:rPr>
        <w:t>其他共产党事务支出</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一般行政管理事务</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反映行政单位未单独设置项级科目的与中国共产党事务有关的其他项目支出。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公共安全</w:t>
      </w:r>
      <w:r>
        <w:rPr>
          <w:rFonts w:hint="eastAsia" w:ascii="仿宋_GB2312" w:eastAsia="仿宋_GB2312"/>
          <w:b w:val="0"/>
          <w:bCs/>
          <w:color w:val="000000"/>
          <w:spacing w:val="-2"/>
          <w:sz w:val="32"/>
          <w:szCs w:val="32"/>
          <w:highlight w:val="none"/>
        </w:rPr>
        <w:t>支出（类）</w:t>
      </w:r>
      <w:r>
        <w:rPr>
          <w:rFonts w:hint="eastAsia" w:ascii="仿宋_GB2312" w:eastAsia="仿宋_GB2312"/>
          <w:b w:val="0"/>
          <w:bCs/>
          <w:color w:val="000000"/>
          <w:spacing w:val="-2"/>
          <w:sz w:val="32"/>
          <w:szCs w:val="32"/>
          <w:highlight w:val="none"/>
          <w:lang w:val="en-US" w:eastAsia="zh-CN"/>
        </w:rPr>
        <w:t>公安</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其他公安支出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反映除安全保卫、打击刑事犯罪、打击经济犯罪、开展禁毒工作等项目以外其他用于公安方面的支出。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文化旅游体育与传媒支出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文化和旅游</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群众文化</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反映群众文化方面的支出，包括基层文化馆（站）、群众艺术馆支出等。</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文化旅游体育与传媒支出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文化和旅游</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其他文化和旅游支出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反映除图书馆、艺术展览馆、举办大型文化艺术活动、对外文化交流合作活动等项目以外其他用于文化方面的支出。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文化旅游体育与传媒支出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文物</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历史名城与古迹</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反映历史名城、世界遗产规划与古迹保护等方面的支出。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社会保障和就业支出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人力资源和社会保障管理事务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其他人力资源和社会保障管理事务支出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反映除劳动保障检察事务、就业和职业技能鉴定管理、社会保险业务管理和基金监督方面、劳动关系和维权事务等项目以外其他用于社会保障与就业方面的支出。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社会保障和就业支出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民政管理事务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其他民政管理事务支出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反映民政部门接待来访、法治建设、政策宣传方面的支出，以及开展优抚安置、救灾减灾、社会救助、社会福利、婚姻登记、社会事务、信息化建设等专项业务的支出。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社会保障和就业支出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行政事业单位养老支出</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行政单位离退休</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反映实现归口管理的行政单位开支的行政人员离退休经费。</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社会保障和就业支出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行政事业单位养老支出</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事业单位离退休</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反映实现归口管理的行政单位开支的事业人员离退休经费。</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社会保障和就业支出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就业补助</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公益性岗位补贴</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反映行政单位对符合条件的就业困难人员在公益性岗位就业给予的岗位补贴支出。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社会保障和就业支出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残疾人事业</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其他残疾人事业支出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反映除残疾人康复、残疾人就业和扶贫、残疾人体育、困难残疾人生活补贴和重度残疾人护理补贴等项目以外用于残疾人事业方面的支出。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卫生健康支出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计划生育事务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其他计划生育事务支出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反映除卫生和计划生育部门所属计划生育机构、计划生育服务等项目以外用于计划生育方面的支出。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节能环保支出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污染防治</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大气</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反映政府在治理空气污染、汽车尾气、酸雨、二氧化硫、沙尘暴等方面的支出。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城乡社区支出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城乡社区管理事务</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一般行政管理事务</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反映本单位在城乡社区事务方面未单独设置项级科目的其他项目支出。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城乡社区支出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城乡社区规划与管理</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城乡社会规划与管理</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反映本单位在城乡社区、名胜风景区、防灾减灾、历史名城规划制定与管理等方面的支出。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城乡社区支出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城乡社区公共设施</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其他城乡社区公共设施支出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反映除小城镇路、气、水、电等基本建设以外的其他用于城乡社区公共设施方面的支出。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农林水支出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林业和草原</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森林资源培育</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反映育苗（种）、造林、抚育、生物质能源建设以及义务植树，生物措施治理水地流失等支出。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农林水支出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林业和草原</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森林生态效益补偿</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反映用于公益林保护和管理等方面的支出。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农林水支出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其他农林水支出</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其他农林水支出</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反映除化解债务支出以外其他用于农林水方面的支出。</w:t>
      </w:r>
    </w:p>
    <w:p>
      <w:pPr>
        <w:keepNext w:val="0"/>
        <w:keepLines w:val="0"/>
        <w:pageBreakBefore w:val="0"/>
        <w:widowControl w:val="0"/>
        <w:kinsoku/>
        <w:wordWrap/>
        <w:overflowPunct/>
        <w:topLinePunct w:val="0"/>
        <w:bidi w:val="0"/>
        <w:snapToGrid/>
        <w:spacing w:line="560" w:lineRule="exact"/>
        <w:ind w:left="0" w:firstLine="632" w:firstLineChars="200"/>
        <w:textAlignment w:val="auto"/>
        <w:rPr>
          <w:rFonts w:hint="eastAsia" w:ascii="仿宋_GB2312" w:eastAsia="仿宋_GB2312"/>
          <w:b w:val="0"/>
          <w:bCs/>
          <w:color w:val="000000"/>
          <w:spacing w:val="-2"/>
          <w:sz w:val="32"/>
          <w:szCs w:val="32"/>
          <w:highlight w:val="none"/>
          <w:lang w:val="en-US" w:eastAsia="zh-CN"/>
        </w:rPr>
      </w:pPr>
      <w:r>
        <w:rPr>
          <w:rFonts w:hint="eastAsia" w:ascii="仿宋_GB2312" w:eastAsia="仿宋_GB2312"/>
          <w:b w:val="0"/>
          <w:bCs/>
          <w:color w:val="000000"/>
          <w:spacing w:val="-2"/>
          <w:sz w:val="32"/>
          <w:szCs w:val="32"/>
          <w:highlight w:val="none"/>
          <w:lang w:val="en-US" w:eastAsia="zh-CN"/>
        </w:rPr>
        <w:t>资源勘探工业信息等支出</w:t>
      </w:r>
      <w:r>
        <w:rPr>
          <w:rFonts w:hint="eastAsia" w:ascii="仿宋_GB2312" w:eastAsia="仿宋_GB2312"/>
          <w:b w:val="0"/>
          <w:bCs/>
          <w:color w:val="000000"/>
          <w:spacing w:val="-2"/>
          <w:sz w:val="32"/>
          <w:szCs w:val="32"/>
          <w:highlight w:val="none"/>
        </w:rPr>
        <w:t>（类）</w:t>
      </w:r>
      <w:r>
        <w:rPr>
          <w:rFonts w:hint="eastAsia" w:ascii="仿宋_GB2312" w:eastAsia="仿宋_GB2312"/>
          <w:b w:val="0"/>
          <w:bCs/>
          <w:color w:val="000000"/>
          <w:spacing w:val="-2"/>
          <w:sz w:val="32"/>
          <w:szCs w:val="32"/>
          <w:highlight w:val="none"/>
          <w:lang w:val="en-US" w:eastAsia="zh-CN"/>
        </w:rPr>
        <w:t>支持中小企业发展和管理支出</w:t>
      </w:r>
      <w:r>
        <w:rPr>
          <w:rFonts w:hint="eastAsia" w:ascii="仿宋_GB2312" w:eastAsia="仿宋_GB2312"/>
          <w:b w:val="0"/>
          <w:bCs/>
          <w:color w:val="000000"/>
          <w:spacing w:val="-2"/>
          <w:sz w:val="32"/>
          <w:szCs w:val="32"/>
          <w:highlight w:val="none"/>
        </w:rPr>
        <w:t>（款）</w:t>
      </w:r>
      <w:r>
        <w:rPr>
          <w:rFonts w:hint="eastAsia" w:ascii="仿宋_GB2312" w:eastAsia="仿宋_GB2312"/>
          <w:b w:val="0"/>
          <w:bCs/>
          <w:color w:val="000000"/>
          <w:spacing w:val="-2"/>
          <w:sz w:val="32"/>
          <w:szCs w:val="32"/>
          <w:highlight w:val="none"/>
          <w:lang w:val="en-US" w:eastAsia="zh-CN"/>
        </w:rPr>
        <w:t>中小企业发展专项</w:t>
      </w:r>
      <w:r>
        <w:rPr>
          <w:rFonts w:hint="eastAsia" w:ascii="仿宋_GB2312" w:eastAsia="仿宋_GB2312"/>
          <w:b w:val="0"/>
          <w:bCs/>
          <w:color w:val="000000"/>
          <w:spacing w:val="-2"/>
          <w:sz w:val="32"/>
          <w:szCs w:val="32"/>
          <w:highlight w:val="none"/>
        </w:rPr>
        <w:t>（项）</w:t>
      </w:r>
      <w:r>
        <w:rPr>
          <w:rFonts w:hint="eastAsia" w:ascii="仿宋_GB2312" w:eastAsia="仿宋_GB2312"/>
          <w:b w:val="0"/>
          <w:bCs/>
          <w:color w:val="000000"/>
          <w:spacing w:val="-2"/>
          <w:sz w:val="32"/>
          <w:szCs w:val="32"/>
          <w:highlight w:val="none"/>
          <w:lang w:eastAsia="zh-CN"/>
        </w:rPr>
        <w:t>：</w:t>
      </w:r>
      <w:r>
        <w:rPr>
          <w:rFonts w:hint="eastAsia" w:ascii="仿宋_GB2312" w:eastAsia="仿宋_GB2312"/>
          <w:b w:val="0"/>
          <w:bCs/>
          <w:color w:val="000000"/>
          <w:spacing w:val="-2"/>
          <w:sz w:val="32"/>
          <w:szCs w:val="32"/>
          <w:highlight w:val="none"/>
          <w:lang w:val="en-US" w:eastAsia="zh-CN"/>
        </w:rPr>
        <w:t>反映用于支持中小企业专业化发展方面的支出。</w:t>
      </w: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center"/>
        <w:textAlignment w:val="auto"/>
        <w:rPr>
          <w:rFonts w:ascii="黑体" w:eastAsia="黑体"/>
          <w:b/>
          <w:bCs/>
          <w:sz w:val="32"/>
          <w:szCs w:val="32"/>
        </w:rPr>
      </w:pPr>
      <w:r>
        <w:rPr>
          <w:rFonts w:hint="eastAsia" w:ascii="黑体" w:eastAsia="黑体"/>
          <w:b/>
          <w:bCs/>
          <w:sz w:val="32"/>
          <w:szCs w:val="32"/>
        </w:rPr>
        <w:t>第四部分  2024年度部门绩效评价情况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highlight w:val="yellow"/>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一、部门整体绩效评价报告（详见附件</w:t>
      </w:r>
      <w:r>
        <w:rPr>
          <w:rFonts w:hint="eastAsia" w:ascii="黑体" w:eastAsia="黑体"/>
          <w:sz w:val="32"/>
          <w:szCs w:val="32"/>
          <w:lang w:val="en-US" w:eastAsia="zh-CN"/>
        </w:rPr>
        <w:t>1</w:t>
      </w:r>
      <w:r>
        <w:rPr>
          <w:rFonts w:hint="eastAsia" w:asci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二、项目支出绩效评价报告（详见附件</w:t>
      </w:r>
      <w:r>
        <w:rPr>
          <w:rFonts w:hint="eastAsia" w:ascii="黑体" w:eastAsia="黑体"/>
          <w:sz w:val="32"/>
          <w:szCs w:val="32"/>
          <w:lang w:val="en-US" w:eastAsia="zh-CN"/>
        </w:rPr>
        <w:t>2</w:t>
      </w:r>
      <w:r>
        <w:rPr>
          <w:rFonts w:hint="eastAsia" w:asci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项目</w:t>
      </w:r>
      <w:r>
        <w:rPr>
          <w:rFonts w:ascii="黑体" w:eastAsia="黑体"/>
          <w:sz w:val="32"/>
          <w:szCs w:val="32"/>
        </w:rPr>
        <w:t>支出绩效自评表</w:t>
      </w:r>
      <w:r>
        <w:rPr>
          <w:rFonts w:hint="eastAsia" w:ascii="黑体" w:eastAsia="黑体"/>
          <w:sz w:val="32"/>
          <w:szCs w:val="32"/>
        </w:rPr>
        <w:t>（详见附件</w:t>
      </w:r>
      <w:r>
        <w:rPr>
          <w:rFonts w:hint="eastAsia" w:ascii="黑体" w:eastAsia="黑体"/>
          <w:sz w:val="32"/>
          <w:szCs w:val="32"/>
          <w:lang w:val="en-US" w:eastAsia="zh-CN"/>
        </w:rPr>
        <w:t>3</w:t>
      </w:r>
      <w:r>
        <w:rPr>
          <w:rFonts w:hint="eastAsia" w:asci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pStyle w:val="2"/>
        <w:spacing w:before="156" w:after="156"/>
      </w:pPr>
    </w:p>
    <w:p/>
    <w:p>
      <w:pPr>
        <w:pStyle w:val="2"/>
        <w:spacing w:before="156" w:after="156"/>
      </w:pPr>
    </w:p>
    <w:p/>
    <w:p>
      <w:pPr>
        <w:pStyle w:val="2"/>
        <w:spacing w:before="156" w:after="156"/>
      </w:pPr>
    </w:p>
    <w:p/>
    <w:p/>
    <w:p/>
    <w:p/>
    <w:p/>
    <w:p/>
    <w:p/>
    <w:p/>
    <w:p/>
    <w:p/>
    <w:p/>
    <w:p>
      <w:pPr>
        <w:pStyle w:val="3"/>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部门整体绩效评价报告</w:t>
      </w:r>
    </w:p>
    <w:p>
      <w:pPr>
        <w:jc w:val="center"/>
        <w:rPr>
          <w:rFonts w:ascii="仿宋_GB2312"/>
          <w:szCs w:val="30"/>
        </w:rPr>
      </w:pP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（一）机构设置及职责工作任务情况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单位内设行政科室8个，分别为：党群工作办公室、平安建设办公室（人民武装部、司法所）、城乡建设办公室、经济发展办公室（统计所）、农业农村办公室、综合保障办公室、纪委、综合行政执法队。事业科室5个，分别为：便民服务中心（退役军人服务站）、市民活动中心（党群活动中心、文化和旅游服务中心）、市民诉求处置中心（综治中心、城市管理指挥分中心）、生态环境保护中心、农业农村服务中心。</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党群工作办公室负责宣传和贯彻执行党的路线方针政策和党中央、市委、区委及本镇党员代表大会的决议；落实各级党组织选举相关工作；领导村党组织及其他隶属镇党委的党组织；加强党的基层组织建设，负责党员发展、管理、监督和服务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sz w:val="32"/>
          <w:szCs w:val="32"/>
          <w:lang w:val="en-US" w:eastAsia="zh-CN"/>
        </w:rPr>
        <w:t>平安建设办公室（人民武装部、司法所）负责</w:t>
      </w:r>
      <w:r>
        <w:rPr>
          <w:rFonts w:hint="eastAsia" w:ascii="仿宋_GB2312" w:hAnsi="仿宋_GB2312" w:eastAsia="仿宋_GB2312" w:cs="仿宋_GB2312"/>
          <w:b w:val="0"/>
          <w:bCs w:val="0"/>
          <w:color w:val="auto"/>
          <w:sz w:val="32"/>
          <w:szCs w:val="32"/>
          <w:highlight w:val="none"/>
          <w:u w:val="none"/>
        </w:rPr>
        <w:t>综治维稳，维护社会安全稳定，在重大会议、重大活动期间及其他重要时期保障辖区公共安全；检查、推动社会治安综合治理各项措施的落实；加强群防群治组织建设</w:t>
      </w:r>
      <w:r>
        <w:rPr>
          <w:rFonts w:hint="eastAsia" w:ascii="仿宋_GB2312" w:hAnsi="仿宋_GB2312" w:eastAsia="仿宋_GB2312" w:cs="仿宋_GB2312"/>
          <w:b w:val="0"/>
          <w:bCs w:val="0"/>
          <w:color w:val="auto"/>
          <w:sz w:val="32"/>
          <w:szCs w:val="32"/>
          <w:highlight w:val="none"/>
          <w:u w:val="none"/>
          <w:lang w:val="en-US" w:eastAsia="zh-CN"/>
        </w:rPr>
        <w:t>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sz w:val="32"/>
          <w:szCs w:val="32"/>
          <w:lang w:val="en-US" w:eastAsia="zh-CN"/>
        </w:rPr>
        <w:t>城乡建设办公室</w:t>
      </w:r>
      <w:r>
        <w:rPr>
          <w:rFonts w:hint="eastAsia" w:ascii="仿宋_GB2312" w:hAnsi="仿宋_GB2312" w:eastAsia="仿宋_GB2312" w:cs="仿宋_GB2312"/>
          <w:b w:val="0"/>
          <w:bCs w:val="0"/>
          <w:color w:val="auto"/>
          <w:sz w:val="32"/>
          <w:szCs w:val="32"/>
          <w:highlight w:val="none"/>
          <w:u w:val="none"/>
        </w:rPr>
        <w:t>负责本行政区域内的相关城乡规划；负责组织农村基础设施建设</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含美丽乡村建设</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；负责农村危房改造的组织和管理工作；按程序审批在规划农村地区，村民申请及使用宅基地进行村民住宅建设</w:t>
      </w:r>
      <w:r>
        <w:rPr>
          <w:rFonts w:hint="eastAsia" w:ascii="仿宋_GB2312" w:hAnsi="仿宋_GB2312" w:eastAsia="仿宋_GB2312" w:cs="仿宋_GB2312"/>
          <w:b w:val="0"/>
          <w:bCs w:val="0"/>
          <w:color w:val="auto"/>
          <w:sz w:val="32"/>
          <w:szCs w:val="32"/>
          <w:highlight w:val="none"/>
          <w:u w:val="none"/>
          <w:lang w:val="en-US" w:eastAsia="zh-CN"/>
        </w:rPr>
        <w:t>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济发展办公室（统计所）负责编制本级预算草案、预算的调整方案、本级决算草案；全面实施预算绩效管理，加强对本镇各种财政资金、集体经济收入等的监管；协助组织税收、内部审计、农村金融管理；财务、工资统发、代扣代缴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农业农村办公室</w:t>
      </w:r>
      <w:r>
        <w:rPr>
          <w:rFonts w:hint="eastAsia" w:ascii="仿宋_GB2312" w:hAnsi="仿宋_GB2312" w:eastAsia="仿宋_GB2312" w:cs="仿宋_GB2312"/>
          <w:b w:val="0"/>
          <w:bCs w:val="0"/>
          <w:color w:val="auto"/>
          <w:sz w:val="32"/>
          <w:szCs w:val="32"/>
          <w:highlight w:val="none"/>
        </w:rPr>
        <w:t>负责本行政区域内的基本农田保护管理工作；建立健全本镇农业生产资料的安全使用制度；负责本行政区域内农业机械化工作；按职责分工加强对农业技术推广工作的领导</w:t>
      </w:r>
      <w:r>
        <w:rPr>
          <w:rFonts w:hint="eastAsia" w:ascii="仿宋_GB2312" w:hAnsi="仿宋_GB2312" w:eastAsia="仿宋_GB2312" w:cs="仿宋_GB2312"/>
          <w:b w:val="0"/>
          <w:bCs w:val="0"/>
          <w:color w:val="auto"/>
          <w:sz w:val="32"/>
          <w:szCs w:val="32"/>
          <w:highlight w:val="none"/>
          <w:lang w:val="en-US" w:eastAsia="zh-CN"/>
        </w:rPr>
        <w:t>等工作。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综合保障办公室</w:t>
      </w:r>
      <w:r>
        <w:rPr>
          <w:rFonts w:hint="eastAsia" w:ascii="仿宋_GB2312" w:hAnsi="仿宋_GB2312" w:eastAsia="仿宋_GB2312" w:cs="仿宋_GB2312"/>
          <w:b w:val="0"/>
          <w:bCs w:val="0"/>
          <w:color w:val="auto"/>
          <w:sz w:val="32"/>
          <w:szCs w:val="32"/>
          <w:highlight w:val="none"/>
          <w:u w:val="none"/>
        </w:rPr>
        <w:t>负责本镇机关日常运转；信息、建议议案提案办理、保密、政府信息公开；承担机关重要事项的组织和督查工作；负责机关安全保卫、</w:t>
      </w:r>
      <w:r>
        <w:rPr>
          <w:rFonts w:hint="eastAsia" w:ascii="仿宋_GB2312" w:hAnsi="仿宋_GB2312" w:eastAsia="仿宋_GB2312" w:cs="仿宋_GB2312"/>
          <w:b w:val="0"/>
          <w:bCs w:val="0"/>
          <w:color w:val="auto"/>
          <w:sz w:val="32"/>
          <w:szCs w:val="32"/>
          <w:highlight w:val="none"/>
          <w:u w:val="none"/>
          <w:lang w:val="en-US" w:eastAsia="zh-CN"/>
        </w:rPr>
        <w:t>应急</w:t>
      </w:r>
      <w:r>
        <w:rPr>
          <w:rFonts w:hint="eastAsia" w:ascii="仿宋_GB2312" w:hAnsi="仿宋_GB2312" w:eastAsia="仿宋_GB2312" w:cs="仿宋_GB2312"/>
          <w:b w:val="0"/>
          <w:bCs w:val="0"/>
          <w:color w:val="auto"/>
          <w:sz w:val="32"/>
          <w:szCs w:val="32"/>
          <w:highlight w:val="none"/>
          <w:u w:val="none"/>
        </w:rPr>
        <w:t>值守</w:t>
      </w:r>
      <w:r>
        <w:rPr>
          <w:rFonts w:hint="eastAsia" w:ascii="仿宋_GB2312" w:hAnsi="仿宋_GB2312" w:eastAsia="仿宋_GB2312" w:cs="仿宋_GB2312"/>
          <w:b w:val="0"/>
          <w:bCs w:val="0"/>
          <w:color w:val="auto"/>
          <w:sz w:val="32"/>
          <w:szCs w:val="32"/>
          <w:highlight w:val="none"/>
          <w:u w:val="none"/>
          <w:lang w:val="en-US" w:eastAsia="zh-CN"/>
        </w:rPr>
        <w:t>与管理</w:t>
      </w:r>
      <w:r>
        <w:rPr>
          <w:rFonts w:hint="eastAsia" w:ascii="仿宋_GB2312" w:hAnsi="仿宋_GB2312" w:eastAsia="仿宋_GB2312" w:cs="仿宋_GB2312"/>
          <w:b w:val="0"/>
          <w:bCs w:val="0"/>
          <w:color w:val="auto"/>
          <w:sz w:val="32"/>
          <w:szCs w:val="32"/>
          <w:highlight w:val="none"/>
          <w:u w:val="none"/>
        </w:rPr>
        <w:t>、后勤服务、固定资产管理工作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eastAsia="zh-CN"/>
        </w:rPr>
        <w:t>镇</w:t>
      </w:r>
      <w:r>
        <w:rPr>
          <w:rFonts w:hint="eastAsia" w:ascii="仿宋_GB2312" w:hAnsi="仿宋_GB2312" w:eastAsia="仿宋_GB2312" w:cs="仿宋_GB2312"/>
          <w:b w:val="0"/>
          <w:bCs w:val="0"/>
          <w:color w:val="auto"/>
          <w:sz w:val="32"/>
          <w:szCs w:val="32"/>
          <w:highlight w:val="none"/>
        </w:rPr>
        <w:t>纪委、区监委派出</w:t>
      </w:r>
      <w:r>
        <w:rPr>
          <w:rFonts w:hint="eastAsia" w:ascii="仿宋_GB2312" w:hAnsi="仿宋_GB2312" w:eastAsia="仿宋_GB2312" w:cs="仿宋_GB2312"/>
          <w:b w:val="0"/>
          <w:bCs w:val="0"/>
          <w:color w:val="auto"/>
          <w:sz w:val="32"/>
          <w:szCs w:val="32"/>
          <w:highlight w:val="none"/>
          <w:lang w:val="en-US" w:eastAsia="zh-CN"/>
        </w:rPr>
        <w:t>大城子</w:t>
      </w:r>
      <w:r>
        <w:rPr>
          <w:rFonts w:hint="eastAsia" w:ascii="仿宋_GB2312" w:hAnsi="仿宋_GB2312" w:eastAsia="仿宋_GB2312" w:cs="仿宋_GB2312"/>
          <w:b w:val="0"/>
          <w:bCs w:val="0"/>
          <w:color w:val="auto"/>
          <w:sz w:val="32"/>
          <w:szCs w:val="32"/>
          <w:highlight w:val="none"/>
        </w:rPr>
        <w:t>镇监察办公室</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b w:val="0"/>
          <w:bCs w:val="0"/>
          <w:color w:val="auto"/>
          <w:sz w:val="32"/>
          <w:szCs w:val="32"/>
          <w:highlight w:val="none"/>
        </w:rPr>
        <w:t>贯彻落实区委、镇党委关于纪律检查工作的决定、部署，维护党的章程和其他党内法规，检查党的路线方针政策和决议的执行情况</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协助镇党委推进全面从严治党、加强党风建设和组织协调反腐败工作</w:t>
      </w:r>
      <w:r>
        <w:rPr>
          <w:rFonts w:hint="eastAsia" w:ascii="仿宋_GB2312" w:hAnsi="仿宋_GB2312" w:eastAsia="仿宋_GB2312" w:cs="仿宋_GB2312"/>
          <w:b w:val="0"/>
          <w:bCs w:val="0"/>
          <w:color w:val="auto"/>
          <w:sz w:val="32"/>
          <w:szCs w:val="32"/>
          <w:highlight w:val="none"/>
          <w:lang w:eastAsia="zh-CN"/>
        </w:rPr>
        <w:t>。</w:t>
      </w:r>
    </w:p>
    <w:p>
      <w:pPr>
        <w:widowControl w:val="0"/>
        <w:wordWrap/>
        <w:autoSpaceDE w:val="0"/>
        <w:autoSpaceDN w:val="0"/>
        <w:adjustRightInd w:val="0"/>
        <w:spacing w:line="560" w:lineRule="exact"/>
        <w:ind w:right="0" w:firstLine="640" w:firstLineChars="200"/>
        <w:jc w:val="left"/>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综合行政执法队</w:t>
      </w:r>
      <w:r>
        <w:rPr>
          <w:rFonts w:hint="eastAsia" w:ascii="仿宋_GB2312" w:hAnsi="仿宋_GB2312" w:eastAsia="仿宋_GB2312" w:cs="仿宋_GB2312"/>
          <w:b w:val="0"/>
          <w:bCs w:val="0"/>
          <w:color w:val="auto"/>
          <w:sz w:val="32"/>
          <w:szCs w:val="32"/>
          <w:highlight w:val="none"/>
        </w:rPr>
        <w:t>镇综合行政执法队</w:t>
      </w:r>
      <w:r>
        <w:rPr>
          <w:rFonts w:hint="eastAsia" w:ascii="仿宋_GB2312" w:hAnsi="仿宋_GB2312" w:eastAsia="仿宋_GB2312" w:cs="仿宋_GB2312"/>
          <w:b w:val="0"/>
          <w:bCs w:val="0"/>
          <w:color w:val="auto"/>
          <w:sz w:val="32"/>
          <w:szCs w:val="32"/>
          <w:highlight w:val="none"/>
          <w:lang w:eastAsia="zh-CN"/>
        </w:rPr>
        <w:t>根据相关法律法规规定和向乡镇下放行政执法职权目录，以镇</w:t>
      </w:r>
      <w:r>
        <w:rPr>
          <w:rFonts w:hint="eastAsia" w:ascii="仿宋_GB2312" w:hAnsi="仿宋_GB2312" w:eastAsia="仿宋_GB2312" w:cs="仿宋_GB2312"/>
          <w:b w:val="0"/>
          <w:bCs w:val="0"/>
          <w:color w:val="auto"/>
          <w:sz w:val="32"/>
          <w:szCs w:val="32"/>
          <w:highlight w:val="none"/>
          <w:lang w:val="en-US" w:eastAsia="zh-CN"/>
        </w:rPr>
        <w:t>政府</w:t>
      </w:r>
      <w:r>
        <w:rPr>
          <w:rFonts w:hint="eastAsia" w:ascii="仿宋_GB2312" w:hAnsi="仿宋_GB2312" w:eastAsia="仿宋_GB2312" w:cs="仿宋_GB2312"/>
          <w:b w:val="0"/>
          <w:bCs w:val="0"/>
          <w:color w:val="auto"/>
          <w:sz w:val="32"/>
          <w:szCs w:val="32"/>
          <w:highlight w:val="none"/>
          <w:lang w:eastAsia="zh-CN"/>
        </w:rPr>
        <w:t>名义开展执法工作</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sz w:val="32"/>
          <w:szCs w:val="32"/>
          <w:highlight w:val="none"/>
          <w:lang w:val="en-US" w:eastAsia="zh-CN"/>
        </w:rPr>
        <w:t>便民服务中心（退役军人服务站）</w:t>
      </w:r>
      <w:r>
        <w:rPr>
          <w:rFonts w:hint="eastAsia" w:ascii="仿宋_GB2312" w:hAnsi="仿宋_GB2312" w:eastAsia="仿宋_GB2312" w:cs="仿宋_GB2312"/>
          <w:b w:val="0"/>
          <w:bCs w:val="0"/>
          <w:color w:val="auto"/>
          <w:sz w:val="32"/>
          <w:szCs w:val="32"/>
          <w:highlight w:val="none"/>
          <w:u w:val="none"/>
        </w:rPr>
        <w:t>为镇所属“窗口类”事业单位，</w:t>
      </w:r>
      <w:r>
        <w:rPr>
          <w:rFonts w:hint="eastAsia" w:ascii="仿宋_GB2312" w:hAnsi="仿宋_GB2312" w:eastAsia="仿宋_GB2312" w:cs="仿宋_GB2312"/>
          <w:b w:val="0"/>
          <w:bCs w:val="0"/>
          <w:color w:val="auto"/>
          <w:sz w:val="32"/>
          <w:szCs w:val="32"/>
          <w:highlight w:val="none"/>
          <w:u w:val="none"/>
          <w:lang w:val="en-US" w:eastAsia="zh-CN"/>
        </w:rPr>
        <w:t>负责</w:t>
      </w:r>
      <w:r>
        <w:rPr>
          <w:rFonts w:hint="eastAsia" w:ascii="仿宋_GB2312" w:hAnsi="仿宋_GB2312" w:eastAsia="仿宋_GB2312" w:cs="仿宋_GB2312"/>
          <w:b w:val="0"/>
          <w:bCs w:val="0"/>
          <w:color w:val="auto"/>
          <w:sz w:val="32"/>
          <w:szCs w:val="32"/>
          <w:highlight w:val="none"/>
          <w:u w:val="none"/>
        </w:rPr>
        <w:t>政务服务、社区服务、社会保障、住房保障、养老助残以及其他需要直接面向群众和驻区单位的综合便民服务工作，协调推动社区便民服务</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退役军人服务、拥军优属相关的事务性</w:t>
      </w:r>
      <w:r>
        <w:rPr>
          <w:rFonts w:hint="eastAsia" w:ascii="仿宋_GB2312" w:hAnsi="仿宋_GB2312" w:eastAsia="仿宋_GB2312" w:cs="仿宋_GB2312"/>
          <w:b w:val="0"/>
          <w:bCs w:val="0"/>
          <w:color w:val="auto"/>
          <w:sz w:val="32"/>
          <w:szCs w:val="32"/>
          <w:highlight w:val="none"/>
          <w:u w:val="none"/>
          <w:lang w:val="en-US" w:eastAsia="zh-CN"/>
        </w:rPr>
        <w:t>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市民活动中心（党群活动中心、文化和旅游服务中心）</w:t>
      </w:r>
      <w:r>
        <w:rPr>
          <w:rFonts w:hint="eastAsia" w:ascii="仿宋_GB2312" w:hAnsi="仿宋_GB2312" w:eastAsia="仿宋_GB2312" w:cs="仿宋_GB2312"/>
          <w:b w:val="0"/>
          <w:bCs w:val="0"/>
          <w:color w:val="auto"/>
          <w:sz w:val="32"/>
          <w:szCs w:val="32"/>
          <w:highlight w:val="none"/>
          <w:u w:val="none"/>
        </w:rPr>
        <w:t>为镇所属“活动类”事业单位，</w:t>
      </w:r>
      <w:r>
        <w:rPr>
          <w:rFonts w:hint="eastAsia" w:ascii="仿宋_GB2312" w:hAnsi="仿宋_GB2312" w:eastAsia="仿宋_GB2312" w:cs="仿宋_GB2312"/>
          <w:b w:val="0"/>
          <w:bCs w:val="0"/>
          <w:color w:val="auto"/>
          <w:sz w:val="32"/>
          <w:szCs w:val="32"/>
          <w:highlight w:val="none"/>
        </w:rPr>
        <w:t>主要承担党群文体活动组织、活动场所管理以及党群活动相关的事务性、辅助性工作等。</w:t>
      </w:r>
      <w:r>
        <w:rPr>
          <w:rFonts w:hint="eastAsia" w:ascii="仿宋_GB2312" w:hAnsi="仿宋_GB2312" w:eastAsia="仿宋_GB2312" w:cs="仿宋_GB2312"/>
          <w:b w:val="0"/>
          <w:bCs w:val="0"/>
          <w:color w:val="auto"/>
          <w:sz w:val="32"/>
          <w:szCs w:val="32"/>
          <w:highlight w:val="none"/>
          <w:u w:val="none"/>
        </w:rPr>
        <w:t>负责教科文体工作；</w:t>
      </w:r>
      <w:r>
        <w:rPr>
          <w:rFonts w:hint="eastAsia" w:ascii="仿宋_GB2312" w:hAnsi="仿宋_GB2312" w:eastAsia="仿宋_GB2312" w:cs="仿宋_GB2312"/>
          <w:b w:val="0"/>
          <w:bCs w:val="0"/>
          <w:color w:val="auto"/>
          <w:sz w:val="32"/>
          <w:szCs w:val="32"/>
          <w:highlight w:val="none"/>
        </w:rPr>
        <w:t>负责加强基层文化体育队伍建设；负责电影的放映；负责组织文体活动；负责文化、体育骨干的培训、技术指导；</w:t>
      </w:r>
      <w:r>
        <w:rPr>
          <w:rFonts w:hint="eastAsia" w:ascii="仿宋_GB2312" w:hAnsi="仿宋_GB2312" w:eastAsia="仿宋_GB2312" w:cs="仿宋_GB2312"/>
          <w:b w:val="0"/>
          <w:bCs w:val="0"/>
          <w:color w:val="auto"/>
          <w:sz w:val="32"/>
          <w:szCs w:val="32"/>
          <w:highlight w:val="none"/>
          <w:u w:val="none"/>
        </w:rPr>
        <w:t>按职责分工做好文物保护工作</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rPr>
        <w:t>承担文物保护相关事务性、辅助性等工作</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市民诉求处置中心（综治中心、城市管理指挥分中心）</w:t>
      </w:r>
      <w:r>
        <w:rPr>
          <w:rFonts w:hint="eastAsia" w:ascii="仿宋_GB2312" w:hAnsi="仿宋_GB2312" w:eastAsia="仿宋_GB2312" w:cs="仿宋_GB2312"/>
          <w:b w:val="0"/>
          <w:bCs w:val="0"/>
          <w:color w:val="auto"/>
          <w:sz w:val="32"/>
          <w:szCs w:val="32"/>
          <w:highlight w:val="none"/>
          <w:u w:val="none"/>
        </w:rPr>
        <w:t>为镇所属“平台类”事业单位，主要承担镇大数据管理、网格化管理、“12345”市政府服务热线等与城市管理、社会管理密切相关的事务性、辅助性工作</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生态环境保护中心</w:t>
      </w:r>
      <w:r>
        <w:rPr>
          <w:rFonts w:hint="eastAsia" w:ascii="仿宋_GB2312" w:eastAsia="仿宋_GB2312"/>
          <w:b w:val="0"/>
          <w:bCs w:val="0"/>
          <w:sz w:val="32"/>
          <w:szCs w:val="32"/>
        </w:rPr>
        <w:t>负责护水、护河、护山、护林、护地、护环境“六护”机制的具体实施；</w:t>
      </w:r>
      <w:r>
        <w:rPr>
          <w:rFonts w:hint="eastAsia" w:ascii="仿宋_GB2312" w:hAnsi="仿宋_GB2312" w:eastAsia="仿宋_GB2312" w:cs="仿宋_GB2312"/>
          <w:b w:val="0"/>
          <w:bCs w:val="0"/>
          <w:color w:val="auto"/>
          <w:sz w:val="32"/>
          <w:szCs w:val="32"/>
          <w:highlight w:val="none"/>
          <w:u w:val="none"/>
        </w:rPr>
        <w:t>负责本地区矿产资源、生态环境的管护；负责镇域内</w:t>
      </w:r>
      <w:r>
        <w:rPr>
          <w:rFonts w:hint="eastAsia" w:ascii="仿宋_GB2312" w:hAnsi="仿宋_GB2312" w:eastAsia="仿宋_GB2312" w:cs="仿宋_GB2312"/>
          <w:b w:val="0"/>
          <w:bCs w:val="0"/>
          <w:color w:val="auto"/>
          <w:sz w:val="32"/>
          <w:szCs w:val="32"/>
          <w:highlight w:val="none"/>
          <w:u w:val="none"/>
          <w:lang w:eastAsia="zh-CN"/>
        </w:rPr>
        <w:t>环境保护、</w:t>
      </w:r>
      <w:r>
        <w:rPr>
          <w:rFonts w:hint="eastAsia" w:ascii="仿宋_GB2312" w:hAnsi="仿宋_GB2312" w:eastAsia="仿宋_GB2312" w:cs="仿宋_GB2312"/>
          <w:b w:val="0"/>
          <w:bCs w:val="0"/>
          <w:color w:val="auto"/>
          <w:sz w:val="32"/>
          <w:szCs w:val="32"/>
          <w:highlight w:val="none"/>
          <w:u w:val="none"/>
        </w:rPr>
        <w:t>环境卫生服务、垃圾处理、扫雪铲冰、环卫基础设施建设、</w:t>
      </w:r>
      <w:r>
        <w:rPr>
          <w:rFonts w:hint="eastAsia" w:ascii="仿宋_GB2312" w:hAnsi="仿宋_GB2312" w:eastAsia="仿宋_GB2312" w:cs="仿宋_GB2312"/>
          <w:b w:val="0"/>
          <w:bCs w:val="0"/>
          <w:color w:val="auto"/>
          <w:sz w:val="32"/>
          <w:szCs w:val="32"/>
          <w:highlight w:val="none"/>
          <w:u w:val="none"/>
          <w:lang w:val="en-US" w:eastAsia="zh-CN"/>
        </w:rPr>
        <w:t>人居</w:t>
      </w:r>
      <w:r>
        <w:rPr>
          <w:rFonts w:hint="eastAsia" w:ascii="仿宋_GB2312" w:hAnsi="仿宋_GB2312" w:eastAsia="仿宋_GB2312" w:cs="仿宋_GB2312"/>
          <w:b w:val="0"/>
          <w:bCs w:val="0"/>
          <w:color w:val="auto"/>
          <w:sz w:val="32"/>
          <w:szCs w:val="32"/>
          <w:highlight w:val="none"/>
          <w:u w:val="none"/>
        </w:rPr>
        <w:t>环境整治提升等事务性、辅助性工作。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农业农村服务中心</w:t>
      </w:r>
      <w:r>
        <w:rPr>
          <w:rFonts w:hint="eastAsia" w:ascii="仿宋_GB2312" w:hAnsi="仿宋_GB2312" w:eastAsia="仿宋_GB2312" w:cs="仿宋_GB2312"/>
          <w:b w:val="0"/>
          <w:bCs w:val="0"/>
          <w:color w:val="auto"/>
          <w:sz w:val="32"/>
          <w:szCs w:val="32"/>
          <w:highlight w:val="none"/>
        </w:rPr>
        <w:t>负责植树造林、古树名木、野生动物保护、森林资源管护、森林防火等事务性、辅助性工作；负责林果业发展的技术指导与服务；负责林果业病虫害预测、预报、检疫等；负责土情、肥情、墒情、疫情等监测、预报和处置；负责林业投入品及</w:t>
      </w:r>
      <w:r>
        <w:rPr>
          <w:rFonts w:hint="eastAsia" w:ascii="仿宋_GB2312" w:hAnsi="仿宋_GB2312" w:eastAsia="仿宋_GB2312" w:cs="仿宋_GB2312"/>
          <w:b w:val="0"/>
          <w:bCs w:val="0"/>
          <w:color w:val="auto"/>
          <w:sz w:val="32"/>
          <w:szCs w:val="32"/>
          <w:highlight w:val="none"/>
          <w:lang w:val="en-US" w:eastAsia="zh-CN"/>
        </w:rPr>
        <w:t>林</w:t>
      </w:r>
      <w:r>
        <w:rPr>
          <w:rFonts w:hint="eastAsia" w:ascii="仿宋_GB2312" w:hAnsi="仿宋_GB2312" w:eastAsia="仿宋_GB2312" w:cs="仿宋_GB2312"/>
          <w:b w:val="0"/>
          <w:bCs w:val="0"/>
          <w:color w:val="auto"/>
          <w:sz w:val="32"/>
          <w:szCs w:val="32"/>
          <w:highlight w:val="none"/>
        </w:rPr>
        <w:t>产品生产过程中的质量安全检测、监测和强制性检验；负责林业技术服务与培训</w:t>
      </w:r>
      <w:r>
        <w:rPr>
          <w:rFonts w:hint="eastAsia" w:ascii="仿宋_GB2312" w:hAnsi="仿宋_GB2312" w:eastAsia="仿宋_GB2312" w:cs="仿宋_GB2312"/>
          <w:b w:val="0"/>
          <w:bCs w:val="0"/>
          <w:color w:val="auto"/>
          <w:sz w:val="32"/>
          <w:szCs w:val="32"/>
          <w:highlight w:val="none"/>
          <w:lang w:val="en-US" w:eastAsia="zh-CN"/>
        </w:rPr>
        <w:t>工作。</w:t>
      </w:r>
    </w:p>
    <w:p>
      <w:pPr>
        <w:spacing w:line="600" w:lineRule="exact"/>
        <w:ind w:firstLine="640" w:firstLineChars="200"/>
        <w:rPr>
          <w:rFonts w:ascii="仿宋_GB2312" w:hAnsi="宋体" w:eastAsia="仿宋_GB2312" w:cs="宋体"/>
          <w:color w:val="000000"/>
          <w:kern w:val="0"/>
          <w:sz w:val="32"/>
          <w:szCs w:val="32"/>
        </w:rPr>
      </w:pPr>
      <w:r>
        <w:rPr>
          <w:rFonts w:hint="eastAsia" w:ascii="楷体_GB2312" w:eastAsia="楷体_GB2312"/>
          <w:sz w:val="32"/>
          <w:szCs w:val="32"/>
        </w:rPr>
        <w:t>（二）部门整体绩效目标设立情况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根据大城子镇实际情况并结合有关要求，遵循简明性、合理性、实用性原则，共设立15个绩效项目。</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highlight w:val="none"/>
        </w:rPr>
        <w:t>2024年</w:t>
      </w:r>
      <w:r>
        <w:rPr>
          <w:rFonts w:ascii="仿宋_GB2312" w:hAnsi="宋体" w:eastAsia="仿宋_GB2312" w:cs="宋体"/>
          <w:color w:val="000000"/>
          <w:kern w:val="0"/>
          <w:sz w:val="32"/>
          <w:szCs w:val="32"/>
          <w:highlight w:val="none"/>
        </w:rPr>
        <w:t>全年</w:t>
      </w:r>
      <w:r>
        <w:rPr>
          <w:rFonts w:hint="eastAsia"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17343.57</w:t>
      </w:r>
      <w:r>
        <w:rPr>
          <w:rFonts w:hint="eastAsia" w:ascii="仿宋_GB2312" w:hAnsi="宋体" w:eastAsia="仿宋_GB2312" w:cs="宋体"/>
          <w:color w:val="000000"/>
          <w:kern w:val="0"/>
          <w:sz w:val="32"/>
          <w:szCs w:val="32"/>
          <w:highlight w:val="none"/>
        </w:rPr>
        <w:t>万元</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其中</w:t>
      </w:r>
      <w:r>
        <w:rPr>
          <w:rFonts w:ascii="仿宋_GB2312" w:hAnsi="宋体" w:eastAsia="仿宋_GB2312" w:cs="宋体"/>
          <w:color w:val="000000"/>
          <w:kern w:val="0"/>
          <w:sz w:val="32"/>
          <w:szCs w:val="32"/>
          <w:highlight w:val="none"/>
        </w:rPr>
        <w:t>，基本</w:t>
      </w:r>
      <w:r>
        <w:rPr>
          <w:rFonts w:hint="eastAsia" w:ascii="仿宋_GB2312" w:hAnsi="宋体" w:eastAsia="仿宋_GB2312" w:cs="宋体"/>
          <w:color w:val="000000"/>
          <w:kern w:val="0"/>
          <w:sz w:val="32"/>
          <w:szCs w:val="32"/>
          <w:highlight w:val="none"/>
        </w:rPr>
        <w:t>支出</w:t>
      </w:r>
      <w:r>
        <w:rPr>
          <w:rFonts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2468.51</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项目支出预算数</w:t>
      </w:r>
      <w:r>
        <w:rPr>
          <w:rFonts w:hint="eastAsia" w:ascii="仿宋_GB2312" w:hAnsi="宋体" w:eastAsia="仿宋_GB2312" w:cs="宋体"/>
          <w:color w:val="000000"/>
          <w:kern w:val="0"/>
          <w:sz w:val="32"/>
          <w:szCs w:val="32"/>
          <w:highlight w:val="none"/>
          <w:lang w:val="en-US" w:eastAsia="zh-CN"/>
        </w:rPr>
        <w:t>14875.06</w:t>
      </w:r>
      <w:r>
        <w:rPr>
          <w:rFonts w:ascii="仿宋_GB2312" w:hAnsi="宋体" w:eastAsia="仿宋_GB2312" w:cs="宋体"/>
          <w:color w:val="000000"/>
          <w:kern w:val="0"/>
          <w:sz w:val="32"/>
          <w:szCs w:val="32"/>
          <w:highlight w:val="none"/>
        </w:rPr>
        <w:t>万元，其他支出</w:t>
      </w:r>
      <w:r>
        <w:rPr>
          <w:rFonts w:hint="eastAsia"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0.00</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资金总体</w:t>
      </w:r>
      <w:r>
        <w:rPr>
          <w:rFonts w:hint="eastAsia" w:ascii="仿宋_GB2312" w:hAnsi="宋体" w:eastAsia="仿宋_GB2312" w:cs="宋体"/>
          <w:color w:val="000000"/>
          <w:kern w:val="0"/>
          <w:sz w:val="32"/>
          <w:szCs w:val="32"/>
          <w:highlight w:val="none"/>
        </w:rPr>
        <w:t>支出</w:t>
      </w:r>
      <w:r>
        <w:rPr>
          <w:rFonts w:hint="eastAsia" w:ascii="仿宋_GB2312" w:hAnsi="宋体" w:eastAsia="仿宋_GB2312" w:cs="宋体"/>
          <w:color w:val="000000"/>
          <w:kern w:val="0"/>
          <w:sz w:val="32"/>
          <w:szCs w:val="32"/>
          <w:highlight w:val="none"/>
          <w:lang w:val="en-US" w:eastAsia="zh-CN"/>
        </w:rPr>
        <w:t>17343.57</w:t>
      </w:r>
      <w:r>
        <w:rPr>
          <w:rFonts w:ascii="仿宋_GB2312" w:hAnsi="宋体" w:eastAsia="仿宋_GB2312" w:cs="宋体"/>
          <w:color w:val="000000"/>
          <w:kern w:val="0"/>
          <w:sz w:val="32"/>
          <w:szCs w:val="32"/>
          <w:highlight w:val="none"/>
        </w:rPr>
        <w:t>万元，其中，基本支出</w:t>
      </w:r>
      <w:r>
        <w:rPr>
          <w:rFonts w:hint="eastAsia" w:ascii="仿宋_GB2312" w:hAnsi="宋体" w:eastAsia="仿宋_GB2312" w:cs="宋体"/>
          <w:color w:val="000000"/>
          <w:kern w:val="0"/>
          <w:sz w:val="32"/>
          <w:szCs w:val="32"/>
          <w:highlight w:val="none"/>
          <w:lang w:val="en-US" w:eastAsia="zh-CN"/>
        </w:rPr>
        <w:t>2468.51</w:t>
      </w:r>
      <w:r>
        <w:rPr>
          <w:rFonts w:ascii="仿宋_GB2312" w:hAnsi="宋体" w:eastAsia="仿宋_GB2312" w:cs="宋体"/>
          <w:color w:val="000000"/>
          <w:kern w:val="0"/>
          <w:sz w:val="32"/>
          <w:szCs w:val="32"/>
          <w:highlight w:val="none"/>
        </w:rPr>
        <w:t>万元，项目</w:t>
      </w:r>
      <w:r>
        <w:rPr>
          <w:rFonts w:hint="eastAsia" w:ascii="仿宋_GB2312" w:hAnsi="宋体" w:eastAsia="仿宋_GB2312" w:cs="宋体"/>
          <w:color w:val="000000"/>
          <w:kern w:val="0"/>
          <w:sz w:val="32"/>
          <w:szCs w:val="32"/>
          <w:highlight w:val="none"/>
        </w:rPr>
        <w:t>支出</w:t>
      </w:r>
      <w:r>
        <w:rPr>
          <w:rFonts w:hint="eastAsia" w:ascii="仿宋_GB2312" w:hAnsi="宋体" w:eastAsia="仿宋_GB2312" w:cs="宋体"/>
          <w:color w:val="000000"/>
          <w:kern w:val="0"/>
          <w:sz w:val="32"/>
          <w:szCs w:val="32"/>
          <w:highlight w:val="none"/>
          <w:lang w:val="en-US" w:eastAsia="zh-CN"/>
        </w:rPr>
        <w:t>14875.06</w:t>
      </w:r>
      <w:r>
        <w:rPr>
          <w:rFonts w:ascii="仿宋_GB2312" w:hAnsi="宋体" w:eastAsia="仿宋_GB2312" w:cs="宋体"/>
          <w:color w:val="000000"/>
          <w:kern w:val="0"/>
          <w:sz w:val="32"/>
          <w:szCs w:val="32"/>
          <w:highlight w:val="none"/>
        </w:rPr>
        <w:t>万元，其他支出</w:t>
      </w:r>
      <w:r>
        <w:rPr>
          <w:rFonts w:hint="eastAsia" w:ascii="仿宋_GB2312" w:hAnsi="宋体" w:eastAsia="仿宋_GB2312" w:cs="宋体"/>
          <w:color w:val="000000"/>
          <w:kern w:val="0"/>
          <w:sz w:val="32"/>
          <w:szCs w:val="32"/>
          <w:highlight w:val="none"/>
          <w:lang w:val="en-US" w:eastAsia="zh-CN"/>
        </w:rPr>
        <w:t>0.00</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lang w:val="en-US" w:eastAsia="zh-CN"/>
        </w:rPr>
        <w:t>100.00%</w:t>
      </w:r>
      <w:r>
        <w:rPr>
          <w:rFonts w:hint="eastAsia" w:ascii="仿宋_GB2312" w:hAnsi="宋体" w:eastAsia="仿宋_GB2312" w:cs="宋体"/>
          <w:color w:val="000000"/>
          <w:kern w:val="0"/>
          <w:sz w:val="32"/>
          <w:szCs w:val="32"/>
        </w:rPr>
        <w:t>。</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（一）产出完成情况分析</w:t>
      </w:r>
    </w:p>
    <w:p>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1.产出数量</w:t>
      </w:r>
    </w:p>
    <w:p>
      <w:pPr>
        <w:spacing w:line="600" w:lineRule="exact"/>
        <w:ind w:left="105" w:leftChars="50" w:firstLine="480" w:firstLineChars="150"/>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本年度计划项目数15个，完成数15个，所有项目已全部顺利完成。</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2.产出</w:t>
      </w:r>
      <w:r>
        <w:rPr>
          <w:rFonts w:ascii="仿宋_GB2312" w:hAnsi="宋体" w:eastAsia="仿宋_GB2312" w:cs="宋体"/>
          <w:color w:val="000000"/>
          <w:kern w:val="0"/>
          <w:sz w:val="32"/>
          <w:szCs w:val="32"/>
          <w:highlight w:val="none"/>
        </w:rPr>
        <w:t>质量</w:t>
      </w:r>
    </w:p>
    <w:p>
      <w:pPr>
        <w:spacing w:line="600" w:lineRule="exact"/>
        <w:ind w:left="105" w:leftChars="50" w:firstLine="480" w:firstLineChars="150"/>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本年度实施项目数15个，全部达标，质量达标数100%。</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（二）效果</w:t>
      </w:r>
      <w:r>
        <w:rPr>
          <w:rFonts w:ascii="楷体_GB2312" w:eastAsia="楷体_GB2312"/>
          <w:sz w:val="32"/>
          <w:szCs w:val="32"/>
          <w:highlight w:val="none"/>
        </w:rPr>
        <w:t>实现情况分析</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.社会效益</w:t>
      </w:r>
    </w:p>
    <w:p>
      <w:pPr>
        <w:spacing w:line="600" w:lineRule="exact"/>
        <w:ind w:left="105" w:leftChars="50" w:firstLine="480" w:firstLineChars="150"/>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本年度基层工作顺利完成，社会效益良好，本年度项目顺利开展为基层稳定发展奠定了坚实基础。</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rPr>
        <w:t>.服务对象</w:t>
      </w:r>
      <w:r>
        <w:rPr>
          <w:rFonts w:ascii="仿宋_GB2312" w:hAnsi="宋体" w:eastAsia="仿宋_GB2312" w:cs="宋体"/>
          <w:color w:val="000000"/>
          <w:kern w:val="0"/>
          <w:sz w:val="32"/>
          <w:szCs w:val="32"/>
          <w:highlight w:val="none"/>
        </w:rPr>
        <w:t>满意度</w:t>
      </w:r>
    </w:p>
    <w:p>
      <w:pPr>
        <w:spacing w:line="600" w:lineRule="exact"/>
        <w:ind w:left="105" w:leftChars="50" w:firstLine="480" w:firstLineChars="150"/>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本年度与项目有关的服务对象均对本年度开展项目成果表示满意，服务对象满意度总体评价为满意。</w:t>
      </w:r>
    </w:p>
    <w:p>
      <w:pPr>
        <w:spacing w:line="600" w:lineRule="exact"/>
        <w:ind w:left="105" w:leftChars="50" w:firstLine="480" w:firstLineChars="150"/>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四</w:t>
      </w:r>
      <w:r>
        <w:rPr>
          <w:rFonts w:ascii="黑体" w:hAnsi="黑体" w:eastAsia="黑体" w:cs="宋体"/>
          <w:color w:val="000000"/>
          <w:kern w:val="0"/>
          <w:sz w:val="32"/>
          <w:szCs w:val="32"/>
          <w:highlight w:val="none"/>
        </w:rPr>
        <w:t>、预算管理</w:t>
      </w:r>
      <w:r>
        <w:rPr>
          <w:rFonts w:hint="eastAsia" w:ascii="黑体" w:hAnsi="黑体" w:eastAsia="黑体" w:cs="宋体"/>
          <w:color w:val="000000"/>
          <w:kern w:val="0"/>
          <w:sz w:val="32"/>
          <w:szCs w:val="32"/>
          <w:highlight w:val="none"/>
        </w:rPr>
        <w:t>情况分</w:t>
      </w:r>
      <w:r>
        <w:rPr>
          <w:rFonts w:ascii="黑体" w:hAnsi="黑体" w:eastAsia="黑体" w:cs="宋体"/>
          <w:color w:val="000000"/>
          <w:kern w:val="0"/>
          <w:sz w:val="32"/>
          <w:szCs w:val="32"/>
          <w:highlight w:val="none"/>
        </w:rPr>
        <w:t>析</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（一）财务管理</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1.财务</w:t>
      </w:r>
      <w:r>
        <w:rPr>
          <w:rFonts w:ascii="仿宋_GB2312" w:hAnsi="宋体" w:eastAsia="仿宋_GB2312" w:cs="宋体"/>
          <w:color w:val="000000"/>
          <w:kern w:val="0"/>
          <w:sz w:val="32"/>
          <w:szCs w:val="32"/>
          <w:highlight w:val="none"/>
        </w:rPr>
        <w:t>管理制度健全性</w:t>
      </w:r>
    </w:p>
    <w:p>
      <w:pPr>
        <w:spacing w:line="600" w:lineRule="exact"/>
        <w:ind w:left="105" w:leftChars="50" w:firstLine="480" w:firstLineChars="150"/>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本镇制定财政财务管理制度，使得财务管理工作开展有制度可依，为推动大城子镇财政财务平稳运行奠定基础。</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2.资金使用合规性</w:t>
      </w:r>
      <w:r>
        <w:rPr>
          <w:rFonts w:ascii="仿宋_GB2312" w:hAnsi="宋体" w:eastAsia="仿宋_GB2312" w:cs="宋体"/>
          <w:color w:val="000000"/>
          <w:kern w:val="0"/>
          <w:sz w:val="32"/>
          <w:szCs w:val="32"/>
          <w:highlight w:val="none"/>
        </w:rPr>
        <w:t>和安全性</w:t>
      </w:r>
    </w:p>
    <w:p>
      <w:pPr>
        <w:spacing w:line="600" w:lineRule="exact"/>
        <w:ind w:left="105" w:leftChars="50" w:firstLine="480" w:firstLineChars="150"/>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本年度资金使用均严格遵守相关制度规定，不存在资金使用不合规问题。在财务管理人员的严格把关下，确保专项资金专款专用，有效保障了资金安全。</w:t>
      </w:r>
    </w:p>
    <w:p>
      <w:pPr>
        <w:spacing w:line="600" w:lineRule="exact"/>
        <w:ind w:left="105" w:leftChars="50" w:firstLine="480" w:firstLineChars="150"/>
        <w:rPr>
          <w:rFonts w:ascii="仿宋_GB2312" w:hAnsi="宋体" w:eastAsia="仿宋_GB2312" w:cs="宋体"/>
          <w:color w:val="000000"/>
          <w:kern w:val="0"/>
          <w:sz w:val="32"/>
          <w:szCs w:val="32"/>
          <w:highlight w:val="none"/>
        </w:rPr>
      </w:pPr>
      <w:r>
        <w:rPr>
          <w:rFonts w:ascii="仿宋_GB2312" w:hAnsi="宋体" w:eastAsia="仿宋_GB2312" w:cs="宋体"/>
          <w:color w:val="000000"/>
          <w:kern w:val="0"/>
          <w:sz w:val="32"/>
          <w:szCs w:val="32"/>
          <w:highlight w:val="none"/>
        </w:rPr>
        <w:t>3.</w:t>
      </w:r>
      <w:r>
        <w:rPr>
          <w:rFonts w:hint="eastAsia" w:ascii="仿宋_GB2312" w:hAnsi="宋体" w:eastAsia="仿宋_GB2312" w:cs="宋体"/>
          <w:color w:val="000000"/>
          <w:kern w:val="0"/>
          <w:sz w:val="32"/>
          <w:szCs w:val="32"/>
          <w:highlight w:val="none"/>
        </w:rPr>
        <w:t>会计</w:t>
      </w:r>
      <w:r>
        <w:rPr>
          <w:rFonts w:ascii="仿宋_GB2312" w:hAnsi="宋体" w:eastAsia="仿宋_GB2312" w:cs="宋体"/>
          <w:color w:val="000000"/>
          <w:kern w:val="0"/>
          <w:sz w:val="32"/>
          <w:szCs w:val="32"/>
          <w:highlight w:val="none"/>
        </w:rPr>
        <w:t>基础信息完善性</w:t>
      </w:r>
    </w:p>
    <w:p>
      <w:pPr>
        <w:spacing w:line="600" w:lineRule="exact"/>
        <w:ind w:left="105" w:leftChars="50"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财务管理人员定期对财政一体化系统进行更新维护，确保会计基础信息准确无误。</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（二）资产管理</w:t>
      </w:r>
    </w:p>
    <w:p>
      <w:pPr>
        <w:spacing w:line="600" w:lineRule="exact"/>
        <w:ind w:left="105" w:leftChars="50"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本年度资产管理严格遵循《大城子镇固定资产管理办法》及《大城子镇工程项目管理办法》有关要求。严格杜绝因管理不当发生严重资产损失和丢失情况，不存在未经审批擅自出租、出借资产行为。</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（三）绩效</w:t>
      </w:r>
      <w:r>
        <w:rPr>
          <w:rFonts w:ascii="楷体_GB2312" w:eastAsia="楷体_GB2312"/>
          <w:sz w:val="32"/>
          <w:szCs w:val="32"/>
          <w:highlight w:val="none"/>
        </w:rPr>
        <w:t>管理</w:t>
      </w:r>
    </w:p>
    <w:p>
      <w:pPr>
        <w:spacing w:line="600" w:lineRule="exact"/>
        <w:ind w:left="105" w:leftChars="50"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定期对绩效信息进行汇总分析整理，并对绩效目标偏离情况进行纠正。</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（四）结转结余率</w:t>
      </w:r>
    </w:p>
    <w:p>
      <w:pPr>
        <w:spacing w:line="600" w:lineRule="exact"/>
        <w:ind w:left="105" w:leftChars="50"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本年度结转结余率为2.30%，相比于2023年度结转结余率6.58%有大幅降低。</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（五）部门</w:t>
      </w:r>
      <w:r>
        <w:rPr>
          <w:rFonts w:ascii="楷体_GB2312" w:eastAsia="楷体_GB2312"/>
          <w:sz w:val="32"/>
          <w:szCs w:val="32"/>
          <w:highlight w:val="none"/>
        </w:rPr>
        <w:t>预决算差异率</w:t>
      </w:r>
    </w:p>
    <w:p>
      <w:pPr>
        <w:spacing w:line="600" w:lineRule="exact"/>
        <w:ind w:left="105" w:leftChars="50"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本年度部门预决算差异率为214.66%，原因为2024年决算包含专项转移支付资金。</w:t>
      </w:r>
    </w:p>
    <w:p>
      <w:pPr>
        <w:spacing w:line="600" w:lineRule="exact"/>
        <w:ind w:left="105" w:leftChars="50" w:firstLine="480" w:firstLineChars="150"/>
        <w:rPr>
          <w:rFonts w:ascii="黑体" w:hAnsi="黑体" w:eastAsia="黑体"/>
          <w:sz w:val="32"/>
          <w:szCs w:val="32"/>
          <w:highlight w:val="none"/>
        </w:rPr>
      </w:pPr>
      <w:r>
        <w:rPr>
          <w:rFonts w:hint="eastAsia" w:ascii="黑体" w:hAnsi="黑体" w:eastAsia="黑体"/>
          <w:sz w:val="32"/>
          <w:szCs w:val="32"/>
          <w:highlight w:val="none"/>
        </w:rPr>
        <w:t>五、总体</w:t>
      </w:r>
      <w:r>
        <w:rPr>
          <w:rFonts w:ascii="黑体" w:hAnsi="黑体" w:eastAsia="黑体"/>
          <w:sz w:val="32"/>
          <w:szCs w:val="32"/>
          <w:highlight w:val="none"/>
        </w:rPr>
        <w:t>评价结论</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（一）评价</w:t>
      </w:r>
      <w:r>
        <w:rPr>
          <w:rFonts w:ascii="楷体_GB2312" w:eastAsia="楷体_GB2312"/>
          <w:sz w:val="32"/>
          <w:szCs w:val="32"/>
          <w:highlight w:val="none"/>
        </w:rPr>
        <w:t>得分</w:t>
      </w:r>
      <w:r>
        <w:rPr>
          <w:rFonts w:hint="eastAsia" w:ascii="楷体_GB2312" w:eastAsia="楷体_GB2312"/>
          <w:sz w:val="32"/>
          <w:szCs w:val="32"/>
          <w:highlight w:val="none"/>
        </w:rPr>
        <w:t>情况</w:t>
      </w:r>
    </w:p>
    <w:p>
      <w:pPr>
        <w:spacing w:line="600" w:lineRule="exact"/>
        <w:ind w:left="105" w:leftChars="50"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绩效指标整体完成情况良好，整体得分在80-100分之间的项目有15个，占所有项目的100.00%。项目类型包括环境综合整治类、政策性补助类、新农村建设类等重点项目。在为我镇村民营造良好生产生活环境、提高农村社会管理水平、稳步发展农村社会事业、提升基层党组织服务群众能力、打造优美和谐人居环境等方面起到积极作用。</w:t>
      </w:r>
    </w:p>
    <w:p>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（二）存在的问题及原因分析</w:t>
      </w:r>
    </w:p>
    <w:p>
      <w:pPr>
        <w:spacing w:line="600" w:lineRule="exact"/>
        <w:ind w:left="105" w:leftChars="50" w:firstLine="480" w:firstLineChars="15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绩效评价指标体系需要进一步完善。项目支出评价对象涉及业务科室多，项目类型差异性大，在下一步工作中，需针对不同项目设置个性化指标，提高绩效评价工作科学性、规范性、全面性。</w:t>
      </w:r>
    </w:p>
    <w:p>
      <w:pPr>
        <w:spacing w:line="600" w:lineRule="exact"/>
        <w:ind w:firstLine="640" w:firstLineChars="200"/>
        <w:rPr>
          <w:rFonts w:ascii="仿宋_GB2312" w:hAnsi="宋体" w:eastAsia="仿宋_GB2312" w:cs="宋体"/>
          <w:color w:val="000000"/>
          <w:kern w:val="0"/>
          <w:sz w:val="32"/>
          <w:szCs w:val="32"/>
          <w:highlight w:val="none"/>
        </w:rPr>
      </w:pPr>
      <w:r>
        <w:rPr>
          <w:rFonts w:hint="eastAsia" w:ascii="黑体" w:hAnsi="黑体" w:eastAsia="黑体" w:cs="宋体"/>
          <w:color w:val="000000"/>
          <w:kern w:val="0"/>
          <w:sz w:val="32"/>
          <w:szCs w:val="32"/>
          <w:highlight w:val="none"/>
        </w:rPr>
        <w:t>六、措施建议</w:t>
      </w:r>
    </w:p>
    <w:p>
      <w:pPr>
        <w:spacing w:line="600" w:lineRule="exact"/>
        <w:ind w:left="105" w:leftChars="50" w:firstLine="480" w:firstLineChars="15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组织相关科室工作人员学习绩效考核方案，深刻理解实施绩效预算管理的指导思想、总体目标及基本原则。二是定期组织召开绩效管理领导小组会议，查找单位在绩效管理工作中存在的不足，制定有针对性的整改措施。三是对单位整体及项目绩效评价结果及时进行公开。加强各科室对绩效管理评价工作的重视，提高财政资金使用效益。</w:t>
      </w:r>
    </w:p>
    <w:tbl>
      <w:tblPr>
        <w:tblStyle w:val="10"/>
        <w:tblW w:w="5000" w:type="pct"/>
        <w:tblInd w:w="0" w:type="dxa"/>
        <w:tblLayout w:type="fixed"/>
        <w:tblCellMar>
          <w:top w:w="0" w:type="dxa"/>
          <w:left w:w="108" w:type="dxa"/>
          <w:bottom w:w="0" w:type="dxa"/>
          <w:right w:w="108" w:type="dxa"/>
        </w:tblCellMar>
      </w:tblPr>
      <w:tblGrid>
        <w:gridCol w:w="923"/>
        <w:gridCol w:w="961"/>
        <w:gridCol w:w="990"/>
        <w:gridCol w:w="993"/>
        <w:gridCol w:w="948"/>
        <w:gridCol w:w="556"/>
        <w:gridCol w:w="600"/>
        <w:gridCol w:w="4159"/>
        <w:gridCol w:w="4301"/>
      </w:tblGrid>
      <w:tr>
        <w:tblPrEx>
          <w:tblCellMar>
            <w:top w:w="0" w:type="dxa"/>
            <w:left w:w="108" w:type="dxa"/>
            <w:bottom w:w="0" w:type="dxa"/>
            <w:right w:w="108" w:type="dxa"/>
          </w:tblCellMar>
        </w:tblPrEx>
        <w:trPr>
          <w:trHeight w:val="499" w:hRule="atLeast"/>
        </w:trPr>
        <w:tc>
          <w:tcPr>
            <w:tcW w:w="5000" w:type="pct"/>
            <w:gridSpan w:val="9"/>
            <w:tcBorders>
              <w:top w:val="nil"/>
              <w:left w:val="nil"/>
              <w:bottom w:val="single" w:color="auto" w:sz="4" w:space="0"/>
              <w:right w:val="nil"/>
            </w:tcBorders>
            <w:noWrap/>
            <w:vAlign w:val="bottom"/>
          </w:tcPr>
          <w:p>
            <w:pPr>
              <w:widowControl/>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highlight w:val="none"/>
              </w:rPr>
              <w:t>2024年部门整体绩效评价指标体系评分表</w:t>
            </w:r>
          </w:p>
        </w:tc>
      </w:tr>
      <w:tr>
        <w:tblPrEx>
          <w:tblCellMar>
            <w:top w:w="0" w:type="dxa"/>
            <w:left w:w="108" w:type="dxa"/>
            <w:bottom w:w="0" w:type="dxa"/>
            <w:right w:w="108" w:type="dxa"/>
          </w:tblCellMar>
        </w:tblPrEx>
        <w:trPr>
          <w:trHeight w:val="470" w:hRule="atLeast"/>
        </w:trPr>
        <w:tc>
          <w:tcPr>
            <w:tcW w:w="5000" w:type="pct"/>
            <w:gridSpan w:val="9"/>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tblPrEx>
          <w:tblCellMar>
            <w:top w:w="0" w:type="dxa"/>
            <w:left w:w="108" w:type="dxa"/>
            <w:bottom w:w="0" w:type="dxa"/>
            <w:right w:w="108" w:type="dxa"/>
          </w:tblCellMar>
        </w:tblPrEx>
        <w:trPr>
          <w:trHeight w:val="660" w:hRule="atLeast"/>
        </w:trPr>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9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0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指标解释</w:t>
            </w:r>
          </w:p>
        </w:tc>
        <w:tc>
          <w:tcPr>
            <w:tcW w:w="149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tblPrEx>
          <w:tblCellMar>
            <w:top w:w="0" w:type="dxa"/>
            <w:left w:w="108" w:type="dxa"/>
            <w:bottom w:w="0" w:type="dxa"/>
            <w:right w:w="108" w:type="dxa"/>
          </w:tblCellMar>
        </w:tblPrEx>
        <w:trPr>
          <w:trHeight w:val="630" w:hRule="atLeast"/>
        </w:trPr>
        <w:tc>
          <w:tcPr>
            <w:tcW w:w="319"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17343.57</w:t>
            </w:r>
            <w:r>
              <w:rPr>
                <w:rFonts w:hint="eastAsia" w:ascii="宋体" w:hAnsi="宋体" w:cs="宋体"/>
                <w:color w:val="000000"/>
                <w:kern w:val="0"/>
                <w:sz w:val="20"/>
                <w:szCs w:val="20"/>
              </w:rPr>
              <w:t>　</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17343.57</w:t>
            </w:r>
            <w:r>
              <w:rPr>
                <w:rFonts w:hint="eastAsia" w:ascii="宋体" w:hAnsi="宋体" w:cs="宋体"/>
                <w:color w:val="000000"/>
                <w:kern w:val="0"/>
                <w:sz w:val="20"/>
                <w:szCs w:val="20"/>
              </w:rPr>
              <w:t>　</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100%</w:t>
            </w:r>
            <w:r>
              <w:rPr>
                <w:rFonts w:hint="eastAsia" w:ascii="宋体" w:hAnsi="宋体" w:cs="宋体"/>
                <w:color w:val="000000"/>
                <w:kern w:val="0"/>
                <w:sz w:val="20"/>
                <w:szCs w:val="20"/>
              </w:rPr>
              <w:t>　</w:t>
            </w:r>
          </w:p>
        </w:tc>
        <w:tc>
          <w:tcPr>
            <w:tcW w:w="19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07"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w:t>
            </w:r>
          </w:p>
        </w:tc>
        <w:tc>
          <w:tcPr>
            <w:tcW w:w="1440"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部门全年执行数与全年预算数的比率。资金总体=基本支出+项目支出+其他</w:t>
            </w:r>
          </w:p>
        </w:tc>
        <w:tc>
          <w:tcPr>
            <w:tcW w:w="1490"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①得分一档最高不能超过该指标分值上限（20分）。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CellMar>
            <w:top w:w="0" w:type="dxa"/>
            <w:left w:w="108" w:type="dxa"/>
            <w:bottom w:w="0" w:type="dxa"/>
            <w:right w:w="108" w:type="dxa"/>
          </w:tblCellMar>
        </w:tblPrEx>
        <w:trPr>
          <w:trHeight w:val="600"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2468.51</w:t>
            </w:r>
            <w:r>
              <w:rPr>
                <w:rFonts w:hint="eastAsia" w:ascii="宋体" w:hAnsi="宋体" w:cs="宋体"/>
                <w:color w:val="000000"/>
                <w:kern w:val="0"/>
                <w:sz w:val="20"/>
                <w:szCs w:val="20"/>
              </w:rPr>
              <w:t>　</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2468.51</w:t>
            </w:r>
            <w:r>
              <w:rPr>
                <w:rFonts w:hint="eastAsia" w:ascii="宋体" w:hAnsi="宋体" w:cs="宋体"/>
                <w:color w:val="000000"/>
                <w:kern w:val="0"/>
                <w:sz w:val="20"/>
                <w:szCs w:val="20"/>
              </w:rPr>
              <w:t>　</w:t>
            </w:r>
          </w:p>
        </w:tc>
        <w:tc>
          <w:tcPr>
            <w:tcW w:w="32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07"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4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15"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14875.06</w:t>
            </w:r>
            <w:r>
              <w:rPr>
                <w:rFonts w:hint="eastAsia" w:ascii="宋体" w:hAnsi="宋体" w:cs="宋体"/>
                <w:color w:val="000000"/>
                <w:kern w:val="0"/>
                <w:sz w:val="20"/>
                <w:szCs w:val="20"/>
              </w:rPr>
              <w:t>　</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14875.06</w:t>
            </w:r>
            <w:r>
              <w:rPr>
                <w:rFonts w:hint="eastAsia" w:ascii="宋体" w:hAnsi="宋体" w:cs="宋体"/>
                <w:color w:val="000000"/>
                <w:kern w:val="0"/>
                <w:sz w:val="20"/>
                <w:szCs w:val="20"/>
              </w:rPr>
              <w:t>　</w:t>
            </w:r>
          </w:p>
        </w:tc>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07"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4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136"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3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0.00</w:t>
            </w:r>
            <w:r>
              <w:rPr>
                <w:rFonts w:hint="eastAsia" w:ascii="宋体" w:hAnsi="宋体" w:cs="宋体"/>
                <w:color w:val="000000"/>
                <w:kern w:val="0"/>
                <w:sz w:val="20"/>
                <w:szCs w:val="20"/>
              </w:rPr>
              <w:t>　</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0.00</w:t>
            </w:r>
            <w:r>
              <w:rPr>
                <w:rFonts w:hint="eastAsia" w:ascii="宋体" w:hAnsi="宋体" w:cs="宋体"/>
                <w:color w:val="000000"/>
                <w:kern w:val="0"/>
                <w:sz w:val="20"/>
                <w:szCs w:val="20"/>
              </w:rPr>
              <w:t>　</w:t>
            </w:r>
          </w:p>
        </w:tc>
        <w:tc>
          <w:tcPr>
            <w:tcW w:w="3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07"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44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69" w:hRule="atLeast"/>
        </w:trPr>
        <w:tc>
          <w:tcPr>
            <w:tcW w:w="5000" w:type="pct"/>
            <w:gridSpan w:val="9"/>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tblPrEx>
          <w:tblCellMar>
            <w:top w:w="0" w:type="dxa"/>
            <w:left w:w="108" w:type="dxa"/>
            <w:bottom w:w="0" w:type="dxa"/>
            <w:right w:w="108" w:type="dxa"/>
          </w:tblCellMar>
        </w:tblPrEx>
        <w:trPr>
          <w:trHeight w:val="499" w:hRule="atLeast"/>
        </w:trPr>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3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32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9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07"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49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trHeight w:val="1196" w:hRule="atLeast"/>
        </w:trPr>
        <w:tc>
          <w:tcPr>
            <w:tcW w:w="31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3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产出数量</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项目数共计15个</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项目数共计15个</w:t>
            </w:r>
            <w:r>
              <w:rPr>
                <w:rFonts w:hint="eastAsia" w:ascii="宋体" w:hAnsi="宋体" w:cs="宋体"/>
                <w:color w:val="000000"/>
                <w:kern w:val="0"/>
                <w:sz w:val="20"/>
                <w:szCs w:val="20"/>
              </w:rPr>
              <w:t>　</w:t>
            </w:r>
          </w:p>
        </w:tc>
        <w:tc>
          <w:tcPr>
            <w:tcW w:w="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0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　</w:t>
            </w:r>
          </w:p>
        </w:tc>
        <w:tc>
          <w:tcPr>
            <w:tcW w:w="1440"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产出数量</w:t>
            </w:r>
            <w:r>
              <w:rPr>
                <w:rFonts w:hint="eastAsia" w:ascii="宋体" w:hAnsi="宋体" w:cs="宋体"/>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000000"/>
                <w:kern w:val="0"/>
                <w:sz w:val="18"/>
                <w:szCs w:val="18"/>
              </w:rPr>
              <w:t>产出质量</w:t>
            </w:r>
            <w:r>
              <w:rPr>
                <w:rFonts w:hint="eastAsia" w:ascii="宋体" w:hAnsi="宋体" w:cs="宋体"/>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hint="eastAsia" w:ascii="宋体" w:hAnsi="宋体" w:cs="宋体"/>
                <w:b/>
                <w:bCs/>
                <w:color w:val="000000"/>
                <w:kern w:val="0"/>
                <w:sz w:val="18"/>
                <w:szCs w:val="18"/>
              </w:rPr>
              <w:t>产出进度：</w:t>
            </w:r>
            <w:r>
              <w:rPr>
                <w:rFonts w:hint="eastAsia" w:ascii="宋体" w:hAnsi="宋体" w:cs="宋体"/>
                <w:color w:val="000000"/>
                <w:kern w:val="0"/>
                <w:sz w:val="18"/>
                <w:szCs w:val="18"/>
              </w:rPr>
              <w:t>按时完成率=（按时完成工作数/实际完成工作数）×100%。按时完成工作数：部门（单位）按照整体绩效目标确定的时限实际完成的工作任务数量。</w:t>
            </w:r>
            <w:r>
              <w:rPr>
                <w:rFonts w:hint="eastAsia" w:ascii="宋体" w:hAnsi="宋体" w:cs="宋体"/>
                <w:b/>
                <w:bCs/>
                <w:color w:val="000000"/>
                <w:kern w:val="0"/>
                <w:sz w:val="18"/>
                <w:szCs w:val="18"/>
              </w:rPr>
              <w:t>产出成本</w:t>
            </w:r>
            <w:r>
              <w:rPr>
                <w:rFonts w:hint="eastAsia" w:ascii="宋体" w:hAnsi="宋体" w:cs="宋体"/>
                <w:color w:val="000000"/>
                <w:kern w:val="0"/>
                <w:sz w:val="18"/>
                <w:szCs w:val="18"/>
              </w:rPr>
              <w:t>：单位产出相对于上一年度的节约额；②单位产出相对于市场同类产出的节约额；③部门公用经费的控制情况。</w:t>
            </w:r>
          </w:p>
        </w:tc>
        <w:tc>
          <w:tcPr>
            <w:tcW w:w="1490"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tblPrEx>
          <w:tblCellMar>
            <w:top w:w="0" w:type="dxa"/>
            <w:left w:w="108" w:type="dxa"/>
            <w:bottom w:w="0" w:type="dxa"/>
            <w:right w:w="108" w:type="dxa"/>
          </w:tblCellMar>
        </w:tblPrEx>
        <w:trPr>
          <w:trHeight w:val="2408" w:hRule="atLeast"/>
        </w:trPr>
        <w:tc>
          <w:tcPr>
            <w:tcW w:w="3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产出质量</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达标　　</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　达标　</w:t>
            </w: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0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320" w:hRule="atLeast"/>
        </w:trPr>
        <w:tc>
          <w:tcPr>
            <w:tcW w:w="31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社会效益</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基层工作顺利完成</w:t>
            </w: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顺利完成</w:t>
            </w: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0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　</w:t>
            </w:r>
          </w:p>
        </w:tc>
        <w:tc>
          <w:tcPr>
            <w:tcW w:w="1440"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经济效益</w:t>
            </w:r>
            <w:r>
              <w:rPr>
                <w:rFonts w:hint="eastAsia" w:ascii="宋体" w:hAnsi="宋体" w:cs="宋体"/>
                <w:color w:val="000000"/>
                <w:kern w:val="0"/>
                <w:sz w:val="18"/>
                <w:szCs w:val="18"/>
              </w:rPr>
              <w:t>：部门（单位）履行职责对经济发展所带来的直接或间接影响。</w:t>
            </w:r>
            <w:r>
              <w:rPr>
                <w:rFonts w:hint="eastAsia" w:ascii="宋体" w:hAnsi="宋体" w:cs="宋体"/>
                <w:b/>
                <w:bCs/>
                <w:color w:val="000000"/>
                <w:kern w:val="0"/>
                <w:sz w:val="18"/>
                <w:szCs w:val="18"/>
              </w:rPr>
              <w:t>社会效益</w:t>
            </w:r>
            <w:r>
              <w:rPr>
                <w:rFonts w:hint="eastAsia" w:ascii="宋体" w:hAnsi="宋体" w:cs="宋体"/>
                <w:color w:val="000000"/>
                <w:kern w:val="0"/>
                <w:sz w:val="18"/>
                <w:szCs w:val="18"/>
              </w:rPr>
              <w:t>：部门（单位）履行职责对社会发展所带来的直接或间接影响。</w:t>
            </w:r>
            <w:r>
              <w:rPr>
                <w:rFonts w:hint="eastAsia" w:ascii="宋体" w:hAnsi="宋体" w:cs="宋体"/>
                <w:b/>
                <w:bCs/>
                <w:color w:val="000000"/>
                <w:kern w:val="0"/>
                <w:sz w:val="18"/>
                <w:szCs w:val="18"/>
              </w:rPr>
              <w:t>环境效益</w:t>
            </w:r>
            <w:r>
              <w:rPr>
                <w:rFonts w:hint="eastAsia" w:ascii="宋体" w:hAnsi="宋体" w:cs="宋体"/>
                <w:color w:val="000000"/>
                <w:kern w:val="0"/>
                <w:sz w:val="18"/>
                <w:szCs w:val="18"/>
              </w:rPr>
              <w:t>：部门（单位）履行职责对环境所带来的直接或间接影响。</w:t>
            </w:r>
            <w:r>
              <w:rPr>
                <w:rFonts w:hint="eastAsia" w:ascii="宋体" w:hAnsi="宋体" w:cs="宋体"/>
                <w:b/>
                <w:bCs/>
                <w:color w:val="000000"/>
                <w:kern w:val="0"/>
                <w:sz w:val="18"/>
                <w:szCs w:val="18"/>
              </w:rPr>
              <w:t>可持续性影响：</w:t>
            </w:r>
            <w:r>
              <w:rPr>
                <w:rFonts w:hint="eastAsia" w:ascii="宋体" w:hAnsi="宋体" w:cs="宋体"/>
                <w:color w:val="000000"/>
                <w:kern w:val="0"/>
                <w:sz w:val="18"/>
                <w:szCs w:val="18"/>
              </w:rPr>
              <w:t>部门绩效目标实现的长效机制建设情况，部门工作效率提升措施的创新。</w:t>
            </w:r>
            <w:r>
              <w:rPr>
                <w:rFonts w:hint="eastAsia" w:ascii="宋体" w:hAnsi="宋体" w:cs="宋体"/>
                <w:b/>
                <w:bCs/>
                <w:color w:val="000000"/>
                <w:kern w:val="0"/>
                <w:sz w:val="18"/>
                <w:szCs w:val="18"/>
              </w:rPr>
              <w:t>服务对象满意度</w:t>
            </w:r>
            <w:r>
              <w:rPr>
                <w:rFonts w:hint="eastAsia" w:ascii="宋体" w:hAnsi="宋体" w:cs="宋体"/>
                <w:color w:val="000000"/>
                <w:kern w:val="0"/>
                <w:sz w:val="18"/>
                <w:szCs w:val="18"/>
              </w:rPr>
              <w:t>：部门（单位）的服务对象对部门履职效果的满意程度。</w:t>
            </w:r>
          </w:p>
        </w:tc>
        <w:tc>
          <w:tcPr>
            <w:tcW w:w="1490"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部门根据实际情况选择指标进行填写，并将其细化为相应的个性化指标。对于效益类指标可从受益对象瞄准度、受益广度和受益深度上进行设计分析。</w:t>
            </w:r>
          </w:p>
        </w:tc>
      </w:tr>
      <w:tr>
        <w:tblPrEx>
          <w:tblCellMar>
            <w:top w:w="0" w:type="dxa"/>
            <w:left w:w="108" w:type="dxa"/>
            <w:bottom w:w="0" w:type="dxa"/>
            <w:right w:w="108" w:type="dxa"/>
          </w:tblCellMar>
        </w:tblPrEx>
        <w:trPr>
          <w:trHeight w:val="403"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服务对象满意度</w:t>
            </w:r>
          </w:p>
        </w:tc>
        <w:tc>
          <w:tcPr>
            <w:tcW w:w="3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相关人员是否满意</w:t>
            </w: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满意</w:t>
            </w:r>
            <w:r>
              <w:rPr>
                <w:rFonts w:hint="eastAsia" w:ascii="宋体" w:hAnsi="宋体" w:cs="宋体"/>
                <w:color w:val="000000"/>
                <w:kern w:val="0"/>
                <w:sz w:val="20"/>
                <w:szCs w:val="20"/>
              </w:rPr>
              <w:t>　</w:t>
            </w: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0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9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99"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tblPrEx>
          <w:tblCellMar>
            <w:top w:w="0" w:type="dxa"/>
            <w:left w:w="108" w:type="dxa"/>
            <w:bottom w:w="0" w:type="dxa"/>
            <w:right w:w="108" w:type="dxa"/>
          </w:tblCellMar>
        </w:tblPrEx>
        <w:trPr>
          <w:trHeight w:val="702" w:hRule="atLeast"/>
        </w:trPr>
        <w:tc>
          <w:tcPr>
            <w:tcW w:w="31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3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32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19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207"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49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trHeight w:val="1230" w:hRule="atLeast"/>
        </w:trPr>
        <w:tc>
          <w:tcPr>
            <w:tcW w:w="31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33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3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财务管理制度健全</w:t>
            </w:r>
            <w:r>
              <w:rPr>
                <w:rFonts w:hint="eastAsia" w:ascii="宋体" w:hAnsi="宋体" w:cs="宋体"/>
                <w:color w:val="000000"/>
                <w:kern w:val="0"/>
                <w:sz w:val="20"/>
                <w:szCs w:val="20"/>
              </w:rPr>
              <w:t>　</w:t>
            </w:r>
          </w:p>
        </w:tc>
        <w:tc>
          <w:tcPr>
            <w:tcW w:w="32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制度健全</w:t>
            </w:r>
            <w:r>
              <w:rPr>
                <w:rFonts w:hint="eastAsia" w:ascii="宋体" w:hAnsi="宋体" w:cs="宋体"/>
                <w:color w:val="000000"/>
                <w:kern w:val="0"/>
                <w:sz w:val="20"/>
                <w:szCs w:val="20"/>
              </w:rPr>
              <w:t>　</w:t>
            </w:r>
          </w:p>
        </w:tc>
        <w:tc>
          <w:tcPr>
            <w:tcW w:w="19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7"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　</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财务管理制度健全性:</w:t>
            </w:r>
            <w:r>
              <w:rPr>
                <w:rFonts w:hint="eastAsia" w:ascii="宋体" w:hAnsi="宋体" w:cs="宋体"/>
                <w:color w:val="000000"/>
                <w:kern w:val="0"/>
                <w:sz w:val="18"/>
                <w:szCs w:val="18"/>
              </w:rPr>
              <w:t>部门（单位）为加强财务管理、规范财务行为而制定的管理制度。</w:t>
            </w:r>
          </w:p>
        </w:tc>
        <w:tc>
          <w:tcPr>
            <w:tcW w:w="1490"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tblPrEx>
          <w:tblCellMar>
            <w:top w:w="0" w:type="dxa"/>
            <w:left w:w="108" w:type="dxa"/>
            <w:bottom w:w="0" w:type="dxa"/>
            <w:right w:w="108" w:type="dxa"/>
          </w:tblCellMar>
        </w:tblPrEx>
        <w:trPr>
          <w:trHeight w:val="2220" w:hRule="atLeast"/>
        </w:trPr>
        <w:tc>
          <w:tcPr>
            <w:tcW w:w="31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34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资金使用安全合规</w:t>
            </w:r>
            <w:r>
              <w:rPr>
                <w:rFonts w:hint="eastAsia" w:ascii="宋体" w:hAnsi="宋体" w:cs="宋体"/>
                <w:color w:val="000000"/>
                <w:kern w:val="0"/>
                <w:sz w:val="20"/>
                <w:szCs w:val="20"/>
              </w:rPr>
              <w:t>　</w:t>
            </w:r>
          </w:p>
        </w:tc>
        <w:tc>
          <w:tcPr>
            <w:tcW w:w="32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安全合规</w:t>
            </w:r>
            <w:r>
              <w:rPr>
                <w:rFonts w:hint="eastAsia" w:ascii="宋体" w:hAnsi="宋体" w:cs="宋体"/>
                <w:color w:val="000000"/>
                <w:kern w:val="0"/>
                <w:sz w:val="20"/>
                <w:szCs w:val="20"/>
              </w:rPr>
              <w:t>　</w:t>
            </w:r>
          </w:p>
        </w:tc>
        <w:tc>
          <w:tcPr>
            <w:tcW w:w="19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07"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　</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资金使用合规性和安全性:</w:t>
            </w:r>
            <w:r>
              <w:rPr>
                <w:rFonts w:hint="eastAsia" w:ascii="宋体" w:hAnsi="宋体" w:cs="宋体"/>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490"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CellMar>
            <w:top w:w="0" w:type="dxa"/>
            <w:left w:w="108" w:type="dxa"/>
            <w:bottom w:w="0" w:type="dxa"/>
            <w:right w:w="108" w:type="dxa"/>
          </w:tblCellMar>
        </w:tblPrEx>
        <w:trPr>
          <w:trHeight w:val="1035"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4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343"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会计信息真实无误</w:t>
            </w:r>
            <w:r>
              <w:rPr>
                <w:rFonts w:hint="eastAsia" w:ascii="宋体" w:hAnsi="宋体" w:cs="宋体"/>
                <w:color w:val="000000"/>
                <w:kern w:val="0"/>
                <w:sz w:val="20"/>
                <w:szCs w:val="20"/>
              </w:rPr>
              <w:t>　</w:t>
            </w:r>
          </w:p>
        </w:tc>
        <w:tc>
          <w:tcPr>
            <w:tcW w:w="32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真实无误</w:t>
            </w:r>
            <w:r>
              <w:rPr>
                <w:rFonts w:hint="eastAsia" w:ascii="宋体" w:hAnsi="宋体" w:cs="宋体"/>
                <w:color w:val="000000"/>
                <w:kern w:val="0"/>
                <w:sz w:val="20"/>
                <w:szCs w:val="20"/>
              </w:rPr>
              <w:t>　</w:t>
            </w:r>
          </w:p>
        </w:tc>
        <w:tc>
          <w:tcPr>
            <w:tcW w:w="192"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07"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　</w:t>
            </w:r>
          </w:p>
        </w:tc>
        <w:tc>
          <w:tcPr>
            <w:tcW w:w="1440"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会计基础信息完善性:</w:t>
            </w:r>
            <w:r>
              <w:rPr>
                <w:rFonts w:hint="eastAsia" w:ascii="宋体" w:hAnsi="宋体" w:cs="宋体"/>
                <w:color w:val="000000"/>
                <w:kern w:val="0"/>
                <w:sz w:val="18"/>
                <w:szCs w:val="18"/>
              </w:rPr>
              <w:t>部门（单位）会计基础信息情况。</w:t>
            </w:r>
          </w:p>
        </w:tc>
        <w:tc>
          <w:tcPr>
            <w:tcW w:w="1490"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tblPrEx>
          <w:tblCellMar>
            <w:top w:w="0" w:type="dxa"/>
            <w:left w:w="108" w:type="dxa"/>
            <w:bottom w:w="0" w:type="dxa"/>
            <w:right w:w="108" w:type="dxa"/>
          </w:tblCellMar>
        </w:tblPrEx>
        <w:trPr>
          <w:trHeight w:val="2220"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3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343" w:type="pct"/>
            <w:tcBorders>
              <w:top w:val="single" w:color="auto" w:sz="4" w:space="0"/>
              <w:left w:val="single" w:color="auto" w:sz="4" w:space="0"/>
              <w:bottom w:val="single" w:color="auto" w:sz="4" w:space="0"/>
              <w:right w:val="single" w:color="auto" w:sz="4" w:space="0"/>
            </w:tcBorders>
            <w:vAlign w:val="center"/>
          </w:tcPr>
          <w:p>
            <w:pPr>
              <w:widowControl/>
              <w:ind w:left="200" w:hanging="200" w:hangingChars="100"/>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资产管理合规</w:t>
            </w:r>
          </w:p>
        </w:tc>
        <w:tc>
          <w:tcPr>
            <w:tcW w:w="328"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合规</w:t>
            </w:r>
          </w:p>
        </w:tc>
        <w:tc>
          <w:tcPr>
            <w:tcW w:w="19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　</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资产管理规范性:</w:t>
            </w:r>
            <w:r>
              <w:rPr>
                <w:rFonts w:hint="eastAsia" w:ascii="宋体" w:hAnsi="宋体" w:cs="宋体"/>
                <w:color w:val="000000"/>
                <w:kern w:val="0"/>
                <w:sz w:val="18"/>
                <w:szCs w:val="18"/>
              </w:rPr>
              <w:t>部门（单位）的资产是否保持安全完整，资产配置是否合理，资产使用和资产处理是否规范，用以反映和考核部门（单位）资产管理的整体水平。</w:t>
            </w:r>
          </w:p>
        </w:tc>
        <w:tc>
          <w:tcPr>
            <w:tcW w:w="149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CellMar>
            <w:top w:w="0" w:type="dxa"/>
            <w:left w:w="108" w:type="dxa"/>
            <w:bottom w:w="0" w:type="dxa"/>
            <w:right w:w="108" w:type="dxa"/>
          </w:tblCellMar>
        </w:tblPrEx>
        <w:trPr>
          <w:trHeight w:val="1750"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34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343" w:type="pct"/>
            <w:tcBorders>
              <w:top w:val="single" w:color="auto" w:sz="4" w:space="0"/>
              <w:left w:val="nil"/>
              <w:bottom w:val="single" w:color="auto" w:sz="4" w:space="0"/>
              <w:right w:val="single" w:color="auto" w:sz="4" w:space="0"/>
            </w:tcBorders>
            <w:vAlign w:val="center"/>
          </w:tcPr>
          <w:p>
            <w:pPr>
              <w:widowControl/>
              <w:ind w:left="200" w:hanging="200" w:hangingChars="100"/>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按时汇总分析</w:t>
            </w:r>
          </w:p>
        </w:tc>
        <w:tc>
          <w:tcPr>
            <w:tcW w:w="328"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 xml:space="preserve"> 是</w:t>
            </w:r>
          </w:p>
        </w:tc>
        <w:tc>
          <w:tcPr>
            <w:tcW w:w="19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07"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　</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绩效管理情况:</w:t>
            </w:r>
            <w:r>
              <w:rPr>
                <w:rFonts w:hint="eastAsia" w:ascii="宋体" w:hAnsi="宋体" w:cs="宋体"/>
                <w:color w:val="000000"/>
                <w:kern w:val="0"/>
                <w:sz w:val="18"/>
                <w:szCs w:val="18"/>
              </w:rPr>
              <w:t>考核部门（单位）在绩效管理信息的汇总和应用情况。</w:t>
            </w:r>
          </w:p>
        </w:tc>
        <w:tc>
          <w:tcPr>
            <w:tcW w:w="1490"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①部门（单位）是否及时对绩效信息进行汇总分析整理；②部门（单位）是否对绩效目标偏离情况及时进行矫正。每有一项不合格扣2分。</w:t>
            </w:r>
          </w:p>
        </w:tc>
      </w:tr>
      <w:tr>
        <w:tblPrEx>
          <w:tblCellMar>
            <w:top w:w="0" w:type="dxa"/>
            <w:left w:w="108" w:type="dxa"/>
            <w:bottom w:w="0" w:type="dxa"/>
            <w:right w:w="108" w:type="dxa"/>
          </w:tblCellMar>
        </w:tblPrEx>
        <w:trPr>
          <w:trHeight w:val="394"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　</w:t>
            </w:r>
          </w:p>
        </w:tc>
        <w:tc>
          <w:tcPr>
            <w:tcW w:w="686" w:type="pct"/>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2023年</w:t>
            </w:r>
          </w:p>
        </w:tc>
        <w:tc>
          <w:tcPr>
            <w:tcW w:w="32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2024年</w:t>
            </w:r>
          </w:p>
        </w:tc>
        <w:tc>
          <w:tcPr>
            <w:tcW w:w="19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0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490" w:type="pct"/>
            <w:tcBorders>
              <w:top w:val="single" w:color="auto" w:sz="4" w:space="0"/>
              <w:left w:val="nil"/>
              <w:bottom w:val="single" w:color="auto" w:sz="4" w:space="0"/>
              <w:right w:val="single" w:color="auto" w:sz="4" w:space="0"/>
            </w:tcBorders>
            <w:vAlign w:val="center"/>
          </w:tcPr>
          <w:p>
            <w:pPr>
              <w:widowControl/>
              <w:jc w:val="center"/>
              <w:rPr>
                <w:rFonts w:eastAsia="Times New Roman"/>
                <w:kern w:val="0"/>
                <w:sz w:val="20"/>
                <w:szCs w:val="20"/>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trHeight w:val="1365"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686" w:type="pct"/>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6.58%</w:t>
            </w:r>
            <w:r>
              <w:rPr>
                <w:rFonts w:hint="eastAsia" w:ascii="宋体" w:hAnsi="宋体" w:cs="宋体"/>
                <w:color w:val="000000"/>
                <w:kern w:val="0"/>
                <w:sz w:val="20"/>
                <w:szCs w:val="20"/>
              </w:rPr>
              <w:t>　</w:t>
            </w:r>
          </w:p>
        </w:tc>
        <w:tc>
          <w:tcPr>
            <w:tcW w:w="328" w:type="pct"/>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2.30%</w:t>
            </w:r>
          </w:p>
        </w:tc>
        <w:tc>
          <w:tcPr>
            <w:tcW w:w="19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207" w:type="pct"/>
            <w:tcBorders>
              <w:top w:val="nil"/>
              <w:left w:val="nil"/>
              <w:bottom w:val="single" w:color="auto" w:sz="4" w:space="0"/>
              <w:right w:val="nil"/>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4</w:t>
            </w:r>
          </w:p>
        </w:tc>
        <w:tc>
          <w:tcPr>
            <w:tcW w:w="144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结转结余率=结转结余总额/支出预算数×100%。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结转结余总额：部门（单位）本年度的结转资金与结余资金之和。</w:t>
            </w:r>
          </w:p>
        </w:tc>
        <w:tc>
          <w:tcPr>
            <w:tcW w:w="1490"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CellMar>
            <w:top w:w="0" w:type="dxa"/>
            <w:left w:w="108" w:type="dxa"/>
            <w:bottom w:w="0" w:type="dxa"/>
            <w:right w:w="108" w:type="dxa"/>
          </w:tblCellMar>
        </w:tblPrEx>
        <w:trPr>
          <w:trHeight w:val="90" w:hRule="atLeast"/>
        </w:trPr>
        <w:tc>
          <w:tcPr>
            <w:tcW w:w="31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333"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686" w:type="pct"/>
            <w:gridSpan w:val="2"/>
            <w:tcBorders>
              <w:top w:val="single" w:color="auto" w:sz="4" w:space="0"/>
              <w:left w:val="nil"/>
              <w:bottom w:val="single" w:color="auto" w:sz="4" w:space="0"/>
              <w:right w:val="nil"/>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177.67%</w:t>
            </w:r>
          </w:p>
        </w:tc>
        <w:tc>
          <w:tcPr>
            <w:tcW w:w="328" w:type="pct"/>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214.66%</w:t>
            </w:r>
          </w:p>
        </w:tc>
        <w:tc>
          <w:tcPr>
            <w:tcW w:w="19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207" w:type="pct"/>
            <w:tcBorders>
              <w:top w:val="nil"/>
              <w:left w:val="nil"/>
              <w:bottom w:val="single" w:color="auto" w:sz="4" w:space="0"/>
              <w:right w:val="nil"/>
            </w:tcBorders>
            <w:vAlign w:val="center"/>
          </w:tcPr>
          <w:p>
            <w:pPr>
              <w:widowControl/>
              <w:jc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0</w:t>
            </w:r>
          </w:p>
        </w:tc>
        <w:tc>
          <w:tcPr>
            <w:tcW w:w="1440"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通过年度部门决算与年初部门预算对比，对部门的年度支出情况进行考核，衡量部门预算的约束力。</w:t>
            </w:r>
          </w:p>
        </w:tc>
        <w:tc>
          <w:tcPr>
            <w:tcW w:w="1490"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部门预决算差异率高于市级平均差异率（28.3%）的，每高出10%（含），扣0.4分，扣完为止。</w:t>
            </w:r>
          </w:p>
        </w:tc>
      </w:tr>
      <w:tr>
        <w:tblPrEx>
          <w:tblCellMar>
            <w:top w:w="0" w:type="dxa"/>
            <w:left w:w="108" w:type="dxa"/>
            <w:bottom w:w="0" w:type="dxa"/>
            <w:right w:w="108" w:type="dxa"/>
          </w:tblCellMar>
        </w:tblPrEx>
        <w:trPr>
          <w:trHeight w:val="404" w:hRule="atLeast"/>
        </w:trPr>
        <w:tc>
          <w:tcPr>
            <w:tcW w:w="1668"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92"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07"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96</w:t>
            </w:r>
            <w:r>
              <w:rPr>
                <w:rFonts w:hint="eastAsia" w:ascii="宋体" w:hAnsi="宋体" w:cs="宋体"/>
                <w:color w:val="000000"/>
                <w:kern w:val="0"/>
                <w:sz w:val="20"/>
                <w:szCs w:val="20"/>
              </w:rPr>
              <w:t>　</w:t>
            </w:r>
          </w:p>
        </w:tc>
        <w:tc>
          <w:tcPr>
            <w:tcW w:w="2931"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pStyle w:val="3"/>
        <w:ind w:firstLine="420"/>
      </w:pPr>
    </w:p>
    <w:p>
      <w:pPr>
        <w:pStyle w:val="3"/>
        <w:ind w:firstLine="420"/>
      </w:pPr>
    </w:p>
    <w:p/>
    <w:p/>
    <w:p/>
    <w:p/>
    <w:p/>
    <w:p/>
    <w:p/>
    <w:p/>
    <w:p/>
    <w:p/>
    <w:p/>
    <w:p/>
    <w:p/>
    <w:p/>
    <w:p/>
    <w:p/>
    <w:p/>
    <w:p/>
    <w:p/>
    <w:p/>
    <w:p/>
    <w:p/>
    <w:p/>
    <w:p/>
    <w:p/>
    <w:p/>
    <w:p/>
    <w:p/>
    <w:p/>
    <w:p/>
    <w:p/>
    <w:p/>
    <w:p>
      <w:pPr>
        <w:pStyle w:val="3"/>
        <w:ind w:firstLine="420"/>
      </w:pPr>
    </w:p>
    <w:p>
      <w:pPr>
        <w:pStyle w:val="3"/>
        <w:ind w:firstLine="420"/>
      </w:pPr>
    </w:p>
    <w:p>
      <w:pPr>
        <w:pStyle w:val="3"/>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项目支出绩效评价报告</w:t>
      </w:r>
    </w:p>
    <w:p>
      <w:pPr>
        <w:jc w:val="center"/>
        <w:rPr>
          <w:rFonts w:ascii="仿宋_GB2312" w:eastAsia="仿宋_GB2312"/>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right="0" w:firstLine="64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
          <w:sz w:val="32"/>
          <w:szCs w:val="32"/>
          <w:highlight w:val="none"/>
        </w:rPr>
        <w:t>公益性就业岗位项目是经密云区人力资源和社会保障局</w:t>
      </w:r>
      <w:r>
        <w:rPr>
          <w:rFonts w:hint="eastAsia" w:ascii="仿宋_GB2312" w:hAnsi="仿宋_GB2312" w:eastAsia="仿宋_GB2312" w:cs="仿宋_GB2312"/>
          <w:sz w:val="32"/>
          <w:szCs w:val="32"/>
          <w:highlight w:val="none"/>
        </w:rPr>
        <w:t xml:space="preserve">劳务服务中心批准的公益性就业组织，经费 </w:t>
      </w:r>
      <w:r>
        <w:rPr>
          <w:rFonts w:hint="eastAsia" w:ascii="仿宋_GB2312" w:hAnsi="仿宋_GB2312" w:eastAsia="仿宋_GB2312" w:cs="仿宋_GB2312"/>
          <w:spacing w:val="6"/>
          <w:sz w:val="32"/>
          <w:szCs w:val="32"/>
          <w:highlight w:val="none"/>
        </w:rPr>
        <w:t>来源为市级专项资金、区级财政、镇街财政(其他渠道)三级补助，补助用于就业人员的工资、保险、</w:t>
      </w:r>
      <w:r>
        <w:rPr>
          <w:rFonts w:hint="eastAsia" w:ascii="仿宋_GB2312" w:hAnsi="仿宋_GB2312" w:eastAsia="仿宋_GB2312" w:cs="仿宋_GB2312"/>
          <w:sz w:val="32"/>
          <w:szCs w:val="32"/>
          <w:highlight w:val="none"/>
        </w:rPr>
        <w:t>公积金等工资福利及管理费用，专款专用。按照文件要求，如果三级补助金额不能满足实</w:t>
      </w:r>
      <w:r>
        <w:rPr>
          <w:rFonts w:hint="eastAsia" w:ascii="仿宋_GB2312" w:hAnsi="仿宋_GB2312" w:eastAsia="仿宋_GB2312" w:cs="仿宋_GB2312"/>
          <w:spacing w:val="-1"/>
          <w:sz w:val="32"/>
          <w:szCs w:val="32"/>
          <w:highlight w:val="none"/>
        </w:rPr>
        <w:t>际支出费用，</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12"/>
          <w:sz w:val="32"/>
          <w:szCs w:val="32"/>
          <w:highlight w:val="none"/>
        </w:rPr>
        <w:t>其所需资金由镇街财政(其他渠道)兜底负担。</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公益性就业岗位项目由北京市密云区大城子镇人民政府根据北京市人力资源和社会保障</w:t>
      </w:r>
      <w:r>
        <w:rPr>
          <w:rFonts w:hint="eastAsia" w:ascii="仿宋_GB2312" w:hAnsi="仿宋_GB2312" w:eastAsia="仿宋_GB2312" w:cs="仿宋_GB2312"/>
          <w:spacing w:val="-1"/>
          <w:sz w:val="32"/>
          <w:szCs w:val="32"/>
          <w:highlight w:val="none"/>
        </w:rPr>
        <w:t>局、北京</w:t>
      </w:r>
      <w:r>
        <w:rPr>
          <w:rFonts w:hint="eastAsia" w:ascii="仿宋_GB2312" w:hAnsi="仿宋_GB2312" w:eastAsia="仿宋_GB2312" w:cs="仿宋_GB2312"/>
          <w:sz w:val="32"/>
          <w:szCs w:val="32"/>
          <w:highlight w:val="none"/>
        </w:rPr>
        <w:t xml:space="preserve"> 市财政局印发的《北京市社会公益性就业组织管理试行办法》的通</w:t>
      </w:r>
      <w:r>
        <w:rPr>
          <w:rFonts w:hint="eastAsia" w:ascii="仿宋_GB2312" w:hAnsi="仿宋_GB2312" w:eastAsia="仿宋_GB2312" w:cs="仿宋_GB2312"/>
          <w:spacing w:val="-1"/>
          <w:sz w:val="32"/>
          <w:szCs w:val="32"/>
          <w:highlight w:val="none"/>
        </w:rPr>
        <w:t>知，通过北京市密云区大城子镇人</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3"/>
          <w:sz w:val="32"/>
          <w:szCs w:val="32"/>
          <w:highlight w:val="none"/>
        </w:rPr>
        <w:t>民政府，采用市级专项资金、区级匹配资金和自筹资金相结合的方式，对本辖区内就业困难</w:t>
      </w:r>
      <w:r>
        <w:rPr>
          <w:rFonts w:hint="eastAsia" w:ascii="仿宋_GB2312" w:hAnsi="仿宋_GB2312" w:eastAsia="仿宋_GB2312" w:cs="仿宋_GB2312"/>
          <w:spacing w:val="9"/>
          <w:sz w:val="32"/>
          <w:szCs w:val="32"/>
          <w:highlight w:val="none"/>
        </w:rPr>
        <w:t>人员安排公益性就业岗位。202</w:t>
      </w:r>
      <w:r>
        <w:rPr>
          <w:rFonts w:hint="eastAsia" w:ascii="仿宋_GB2312" w:hAnsi="仿宋_GB2312" w:eastAsia="仿宋_GB2312" w:cs="仿宋_GB2312"/>
          <w:spacing w:val="9"/>
          <w:sz w:val="32"/>
          <w:szCs w:val="32"/>
          <w:highlight w:val="none"/>
          <w:lang w:val="en-US" w:eastAsia="zh-CN"/>
        </w:rPr>
        <w:t>4</w:t>
      </w:r>
      <w:r>
        <w:rPr>
          <w:rFonts w:hint="eastAsia" w:ascii="仿宋_GB2312" w:hAnsi="仿宋_GB2312" w:eastAsia="仿宋_GB2312" w:cs="仿宋_GB2312"/>
          <w:spacing w:val="9"/>
          <w:sz w:val="32"/>
          <w:szCs w:val="32"/>
          <w:highlight w:val="none"/>
        </w:rPr>
        <w:t>年资金投入</w:t>
      </w:r>
      <w:r>
        <w:rPr>
          <w:rFonts w:hint="eastAsia" w:ascii="仿宋_GB2312" w:hAnsi="仿宋_GB2312" w:eastAsia="仿宋_GB2312" w:cs="仿宋_GB2312"/>
          <w:spacing w:val="9"/>
          <w:sz w:val="32"/>
          <w:szCs w:val="32"/>
          <w:highlight w:val="none"/>
          <w:lang w:val="en-US" w:eastAsia="zh-CN"/>
        </w:rPr>
        <w:t>150.48</w:t>
      </w:r>
      <w:r>
        <w:rPr>
          <w:rFonts w:hint="eastAsia" w:ascii="仿宋_GB2312" w:hAnsi="仿宋_GB2312" w:eastAsia="仿宋_GB2312" w:cs="仿宋_GB2312"/>
          <w:spacing w:val="9"/>
          <w:sz w:val="32"/>
          <w:szCs w:val="32"/>
          <w:highlight w:val="none"/>
        </w:rPr>
        <w:t>万元，其中</w:t>
      </w:r>
      <w:r>
        <w:rPr>
          <w:rFonts w:hint="eastAsia" w:ascii="仿宋_GB2312" w:hAnsi="仿宋_GB2312" w:eastAsia="仿宋_GB2312" w:cs="仿宋_GB2312"/>
          <w:spacing w:val="9"/>
          <w:sz w:val="32"/>
          <w:szCs w:val="32"/>
          <w:highlight w:val="none"/>
          <w:lang w:val="en-US" w:eastAsia="zh-CN"/>
        </w:rPr>
        <w:t>90.00万元</w:t>
      </w:r>
      <w:r>
        <w:rPr>
          <w:rFonts w:hint="eastAsia" w:ascii="仿宋_GB2312" w:hAnsi="仿宋_GB2312" w:eastAsia="仿宋_GB2312" w:cs="仿宋_GB2312"/>
          <w:spacing w:val="9"/>
          <w:sz w:val="32"/>
          <w:szCs w:val="32"/>
          <w:highlight w:val="none"/>
        </w:rPr>
        <w:t>为项目年初预算数，</w:t>
      </w:r>
      <w:r>
        <w:rPr>
          <w:rFonts w:hint="eastAsia" w:ascii="仿宋_GB2312" w:hAnsi="仿宋_GB2312" w:eastAsia="仿宋_GB2312" w:cs="仿宋_GB2312"/>
          <w:spacing w:val="9"/>
          <w:sz w:val="32"/>
          <w:szCs w:val="32"/>
          <w:highlight w:val="none"/>
          <w:lang w:val="en-US" w:eastAsia="zh-CN"/>
        </w:rPr>
        <w:t>60.48万元</w:t>
      </w:r>
      <w:r>
        <w:rPr>
          <w:rFonts w:hint="eastAsia" w:ascii="仿宋_GB2312" w:hAnsi="仿宋_GB2312" w:eastAsia="仿宋_GB2312" w:cs="仿宋_GB2312"/>
          <w:spacing w:val="9"/>
          <w:sz w:val="32"/>
          <w:szCs w:val="32"/>
          <w:highlight w:val="none"/>
        </w:rPr>
        <w:t>为后续项</w:t>
      </w:r>
      <w:r>
        <w:rPr>
          <w:rFonts w:hint="eastAsia" w:ascii="仿宋_GB2312" w:hAnsi="仿宋_GB2312" w:eastAsia="仿宋_GB2312" w:cs="仿宋_GB2312"/>
          <w:spacing w:val="1"/>
          <w:sz w:val="32"/>
          <w:szCs w:val="32"/>
          <w:highlight w:val="none"/>
        </w:rPr>
        <w:t>目追加金额</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lang w:val="en-US" w:eastAsia="zh-CN"/>
        </w:rPr>
        <w:t>150.48万元</w:t>
      </w:r>
      <w:r>
        <w:rPr>
          <w:rFonts w:hint="eastAsia" w:ascii="仿宋_GB2312" w:hAnsi="仿宋_GB2312" w:eastAsia="仿宋_GB2312" w:cs="仿宋_GB2312"/>
          <w:spacing w:val="1"/>
          <w:sz w:val="32"/>
          <w:szCs w:val="32"/>
          <w:highlight w:val="none"/>
        </w:rPr>
        <w:t>资金已全部</w:t>
      </w:r>
      <w:r>
        <w:rPr>
          <w:rFonts w:hint="eastAsia" w:ascii="仿宋_GB2312" w:hAnsi="仿宋_GB2312" w:eastAsia="仿宋_GB2312" w:cs="仿宋_GB2312"/>
          <w:sz w:val="32"/>
          <w:szCs w:val="32"/>
          <w:highlight w:val="none"/>
        </w:rPr>
        <w:t>使用。</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jc w:val="both"/>
        <w:textAlignment w:val="auto"/>
        <w:rPr>
          <w:rFonts w:hint="default"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绩效目标为解决大城子镇“40、50”就业困难群体人员的就业问题，维护当地和谐稳定发展。</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本项目的主管部门</w:t>
      </w:r>
      <w:r>
        <w:rPr>
          <w:rFonts w:hint="eastAsia" w:ascii="仿宋_GB2312" w:hAnsi="仿宋_GB2312" w:eastAsia="仿宋_GB2312" w:cs="仿宋_GB2312"/>
          <w:sz w:val="32"/>
          <w:szCs w:val="32"/>
          <w:highlight w:val="none"/>
          <w:lang w:val="en-US" w:eastAsia="zh-CN"/>
        </w:rPr>
        <w:t>北京市密云区大城子镇就业服务中心</w:t>
      </w:r>
      <w:r>
        <w:rPr>
          <w:rFonts w:hint="eastAsia" w:ascii="仿宋_GB2312" w:hAnsi="仿宋_GB2312" w:eastAsia="仿宋_GB2312" w:cs="仿宋_GB2312"/>
          <w:sz w:val="32"/>
          <w:szCs w:val="32"/>
          <w:highlight w:val="none"/>
        </w:rPr>
        <w:t>，实施主体为北京市密云区大城子镇就业服务中心。本项目的成本为公益性岗位的人员费用，构成主要包括人员工资、社会保险和住房公积金，全部为直接成本。为有效提升基层治理水平大幅提升，持续增强社会治理总体效能，对该项目进行绩效评价。范围为该项目资金是否按时发放、社会效益成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（二）绩效评价原则、评价指标体系（附表说明）、评价方法、评价标准等。</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楷体" w:hAnsi="楷体" w:eastAsia="楷体" w:cs="楷体"/>
          <w:sz w:val="31"/>
          <w:szCs w:val="31"/>
          <w:highlight w:val="none"/>
        </w:rPr>
        <w:sectPr>
          <w:footerReference r:id="rId3" w:type="default"/>
          <w:pgSz w:w="16820" w:h="11900"/>
          <w:pgMar w:top="1011" w:right="1484" w:bottom="1129" w:left="1120" w:header="0" w:footer="987" w:gutter="0"/>
          <w:cols w:space="720" w:num="1"/>
        </w:sectPr>
      </w:pPr>
      <w:r>
        <w:rPr>
          <w:rFonts w:hint="eastAsia" w:ascii="仿宋_GB2312" w:hAnsi="仿宋_GB2312" w:eastAsia="仿宋_GB2312" w:cs="仿宋_GB2312"/>
          <w:sz w:val="32"/>
          <w:szCs w:val="32"/>
          <w:highlight w:val="none"/>
        </w:rPr>
        <w:t>评价原则为：多角度对该项目进行绩效评价，客观公正的反映真实情况。评价指标体系如下。评价标准为90(含)-100分为优、80(含)-90分为良、60(含)-80分为中、60分以下为差。</w:t>
      </w:r>
    </w:p>
    <w:p>
      <w:pPr>
        <w:spacing w:before="19"/>
        <w:rPr>
          <w:sz w:val="24"/>
          <w:szCs w:val="32"/>
          <w:highlight w:val="none"/>
        </w:rPr>
      </w:pPr>
    </w:p>
    <w:tbl>
      <w:tblPr>
        <w:tblStyle w:val="21"/>
        <w:tblW w:w="134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2416"/>
        <w:gridCol w:w="9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833" w:type="dxa"/>
            <w:tcBorders>
              <w:bottom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一级指标</w:t>
            </w:r>
          </w:p>
        </w:tc>
        <w:tc>
          <w:tcPr>
            <w:tcW w:w="2416" w:type="dxa"/>
            <w:tcBorders>
              <w:bottom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二级指标</w:t>
            </w:r>
          </w:p>
        </w:tc>
        <w:tc>
          <w:tcPr>
            <w:tcW w:w="9200" w:type="dxa"/>
            <w:tcBorders>
              <w:bottom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具体指标(指标内容、指标值)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83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仿宋_GB2312" w:hAnsi="仿宋_GB2312" w:eastAsia="仿宋_GB2312" w:cs="仿宋_GB2312"/>
                <w:sz w:val="24"/>
                <w:szCs w:val="24"/>
                <w:highlight w:val="none"/>
              </w:rPr>
            </w:pPr>
          </w:p>
          <w:p>
            <w:pPr>
              <w:pStyle w:val="2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产出指标</w:t>
            </w:r>
          </w:p>
        </w:tc>
        <w:tc>
          <w:tcPr>
            <w:tcW w:w="2416" w:type="dxa"/>
            <w:tcBorders>
              <w:top w:val="single" w:color="auto" w:sz="4" w:space="0"/>
              <w:left w:val="single" w:color="auto" w:sz="4" w:space="0"/>
              <w:bottom w:val="single" w:color="auto" w:sz="4" w:space="0"/>
              <w:right w:val="single" w:color="auto" w:sz="4" w:space="0"/>
            </w:tcBorders>
            <w:vAlign w:val="center"/>
          </w:tcPr>
          <w:p>
            <w:pPr>
              <w:pStyle w:val="20"/>
              <w:spacing w:before="124" w:line="219"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产出数量指标</w:t>
            </w:r>
          </w:p>
        </w:tc>
        <w:tc>
          <w:tcPr>
            <w:tcW w:w="9200" w:type="dxa"/>
            <w:tcBorders>
              <w:top w:val="single" w:color="auto" w:sz="4" w:space="0"/>
              <w:left w:val="single" w:color="auto" w:sz="4" w:space="0"/>
              <w:bottom w:val="single" w:color="auto" w:sz="4" w:space="0"/>
              <w:right w:val="single" w:color="auto" w:sz="4" w:space="0"/>
            </w:tcBorders>
            <w:vAlign w:val="top"/>
          </w:tcPr>
          <w:p>
            <w:pPr>
              <w:pStyle w:val="20"/>
              <w:spacing w:before="124" w:line="219" w:lineRule="auto"/>
              <w:ind w:left="104"/>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资金拨付金额是否等于全年预算数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8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p>
        </w:tc>
        <w:tc>
          <w:tcPr>
            <w:tcW w:w="2416" w:type="dxa"/>
            <w:tcBorders>
              <w:top w:val="single" w:color="auto" w:sz="4" w:space="0"/>
              <w:left w:val="single" w:color="auto" w:sz="4" w:space="0"/>
              <w:bottom w:val="single" w:color="auto" w:sz="4" w:space="0"/>
              <w:right w:val="single" w:color="auto" w:sz="4" w:space="0"/>
            </w:tcBorders>
            <w:vAlign w:val="center"/>
          </w:tcPr>
          <w:p>
            <w:pPr>
              <w:pStyle w:val="20"/>
              <w:spacing w:before="155" w:line="219"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产出</w:t>
            </w:r>
            <w:r>
              <w:rPr>
                <w:rFonts w:hint="eastAsia" w:ascii="仿宋_GB2312" w:hAnsi="仿宋_GB2312" w:eastAsia="仿宋_GB2312" w:cs="仿宋_GB2312"/>
                <w:spacing w:val="2"/>
                <w:sz w:val="24"/>
                <w:szCs w:val="24"/>
                <w:highlight w:val="none"/>
                <w:lang w:val="en-US" w:eastAsia="zh-CN"/>
              </w:rPr>
              <w:t>时效</w:t>
            </w:r>
            <w:r>
              <w:rPr>
                <w:rFonts w:hint="eastAsia" w:ascii="仿宋_GB2312" w:hAnsi="仿宋_GB2312" w:eastAsia="仿宋_GB2312" w:cs="仿宋_GB2312"/>
                <w:spacing w:val="2"/>
                <w:sz w:val="24"/>
                <w:szCs w:val="24"/>
                <w:highlight w:val="none"/>
              </w:rPr>
              <w:t>指标</w:t>
            </w:r>
          </w:p>
        </w:tc>
        <w:tc>
          <w:tcPr>
            <w:tcW w:w="9200" w:type="dxa"/>
            <w:tcBorders>
              <w:top w:val="single" w:color="auto" w:sz="4" w:space="0"/>
              <w:left w:val="single" w:color="auto" w:sz="4" w:space="0"/>
              <w:bottom w:val="single" w:color="auto" w:sz="4" w:space="0"/>
              <w:right w:val="single" w:color="auto" w:sz="4" w:space="0"/>
            </w:tcBorders>
            <w:vAlign w:val="top"/>
          </w:tcPr>
          <w:p>
            <w:pPr>
              <w:pStyle w:val="20"/>
              <w:spacing w:before="153" w:line="219" w:lineRule="auto"/>
              <w:ind w:left="104"/>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pacing w:val="-1"/>
                <w:sz w:val="24"/>
                <w:szCs w:val="24"/>
                <w:highlight w:val="none"/>
                <w:lang w:val="en-US" w:eastAsia="zh-CN"/>
              </w:rPr>
              <w:t>是否在一年内将补助资金发放完毕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83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p>
          <w:p>
            <w:pPr>
              <w:pStyle w:val="2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lang w:val="en-US" w:eastAsia="zh-CN"/>
              </w:rPr>
              <w:t>效益</w:t>
            </w:r>
            <w:r>
              <w:rPr>
                <w:rFonts w:hint="eastAsia" w:ascii="仿宋_GB2312" w:hAnsi="仿宋_GB2312" w:eastAsia="仿宋_GB2312" w:cs="仿宋_GB2312"/>
                <w:spacing w:val="3"/>
                <w:sz w:val="24"/>
                <w:szCs w:val="24"/>
                <w:highlight w:val="none"/>
              </w:rPr>
              <w:t>指标</w:t>
            </w:r>
          </w:p>
        </w:tc>
        <w:tc>
          <w:tcPr>
            <w:tcW w:w="2416" w:type="dxa"/>
            <w:tcBorders>
              <w:top w:val="single" w:color="auto" w:sz="4" w:space="0"/>
              <w:left w:val="single" w:color="auto" w:sz="4" w:space="0"/>
              <w:bottom w:val="single" w:color="auto" w:sz="4" w:space="0"/>
              <w:right w:val="single" w:color="auto" w:sz="4" w:space="0"/>
            </w:tcBorders>
            <w:vAlign w:val="center"/>
          </w:tcPr>
          <w:p>
            <w:pPr>
              <w:pStyle w:val="20"/>
              <w:spacing w:before="139" w:line="22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经济效益指标</w:t>
            </w:r>
          </w:p>
        </w:tc>
        <w:tc>
          <w:tcPr>
            <w:tcW w:w="9200" w:type="dxa"/>
            <w:tcBorders>
              <w:top w:val="single" w:color="auto" w:sz="4" w:space="0"/>
              <w:left w:val="single" w:color="auto" w:sz="4" w:space="0"/>
              <w:bottom w:val="single" w:color="auto" w:sz="4" w:space="0"/>
              <w:right w:val="single" w:color="auto" w:sz="4" w:space="0"/>
            </w:tcBorders>
            <w:vAlign w:val="top"/>
          </w:tcPr>
          <w:p>
            <w:pPr>
              <w:pStyle w:val="20"/>
              <w:spacing w:before="138" w:line="219" w:lineRule="auto"/>
              <w:ind w:left="104"/>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缓解部分家庭经济困难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83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sz w:val="24"/>
                <w:szCs w:val="24"/>
                <w:highlight w:val="none"/>
              </w:rPr>
            </w:pPr>
          </w:p>
        </w:tc>
        <w:tc>
          <w:tcPr>
            <w:tcW w:w="2416" w:type="dxa"/>
            <w:tcBorders>
              <w:top w:val="single" w:color="auto" w:sz="4" w:space="0"/>
              <w:left w:val="single" w:color="auto" w:sz="4" w:space="0"/>
              <w:bottom w:val="single" w:color="auto" w:sz="4" w:space="0"/>
              <w:right w:val="single" w:color="auto" w:sz="4" w:space="0"/>
            </w:tcBorders>
            <w:vAlign w:val="center"/>
          </w:tcPr>
          <w:p>
            <w:pPr>
              <w:pStyle w:val="20"/>
              <w:spacing w:before="137" w:line="219"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社会效益指标</w:t>
            </w:r>
          </w:p>
        </w:tc>
        <w:tc>
          <w:tcPr>
            <w:tcW w:w="9200" w:type="dxa"/>
            <w:tcBorders>
              <w:top w:val="single" w:color="auto" w:sz="4" w:space="0"/>
              <w:left w:val="single" w:color="auto" w:sz="4" w:space="0"/>
              <w:bottom w:val="single" w:color="auto" w:sz="4" w:space="0"/>
              <w:right w:val="single" w:color="auto" w:sz="4" w:space="0"/>
            </w:tcBorders>
            <w:vAlign w:val="top"/>
          </w:tcPr>
          <w:p>
            <w:pPr>
              <w:pStyle w:val="20"/>
              <w:spacing w:before="137" w:line="219" w:lineRule="auto"/>
              <w:ind w:left="104"/>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解决本辖区内就业困难人员的人员安置问题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1833"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sz w:val="24"/>
                <w:szCs w:val="24"/>
                <w:highlight w:val="none"/>
              </w:rPr>
            </w:pPr>
          </w:p>
        </w:tc>
        <w:tc>
          <w:tcPr>
            <w:tcW w:w="2416" w:type="dxa"/>
            <w:tcBorders>
              <w:top w:val="single" w:color="auto" w:sz="4" w:space="0"/>
              <w:left w:val="single" w:color="auto" w:sz="4" w:space="0"/>
              <w:bottom w:val="single" w:color="auto" w:sz="4" w:space="0"/>
              <w:right w:val="single" w:color="auto" w:sz="4" w:space="0"/>
            </w:tcBorders>
            <w:vAlign w:val="center"/>
          </w:tcPr>
          <w:p>
            <w:pPr>
              <w:pStyle w:val="20"/>
              <w:spacing w:before="104" w:line="219"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可持续影响指标</w:t>
            </w:r>
          </w:p>
        </w:tc>
        <w:tc>
          <w:tcPr>
            <w:tcW w:w="9200" w:type="dxa"/>
            <w:tcBorders>
              <w:top w:val="single" w:color="auto" w:sz="4" w:space="0"/>
              <w:left w:val="single" w:color="auto" w:sz="4" w:space="0"/>
              <w:bottom w:val="single" w:color="auto" w:sz="4" w:space="0"/>
              <w:right w:val="single" w:color="auto" w:sz="4" w:space="0"/>
            </w:tcBorders>
            <w:vAlign w:val="top"/>
          </w:tcPr>
          <w:p>
            <w:pPr>
              <w:pStyle w:val="20"/>
              <w:spacing w:before="197" w:line="271" w:lineRule="auto"/>
              <w:ind w:left="104" w:right="6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通过项目实施，使相关人员持续得到政府关怀，营造良好的社会氛围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满意度指标</w:t>
            </w:r>
          </w:p>
        </w:tc>
        <w:tc>
          <w:tcPr>
            <w:tcW w:w="2416" w:type="dxa"/>
            <w:tcBorders>
              <w:top w:val="single" w:color="auto" w:sz="4" w:space="0"/>
              <w:left w:val="single" w:color="auto" w:sz="4" w:space="0"/>
              <w:bottom w:val="single" w:color="auto" w:sz="4" w:space="0"/>
              <w:right w:val="single" w:color="auto" w:sz="4" w:space="0"/>
            </w:tcBorders>
            <w:vAlign w:val="center"/>
          </w:tcPr>
          <w:p>
            <w:pPr>
              <w:pStyle w:val="20"/>
              <w:spacing w:before="133" w:line="219" w:lineRule="auto"/>
              <w:jc w:val="center"/>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服务对象满意度指标</w:t>
            </w:r>
          </w:p>
        </w:tc>
        <w:tc>
          <w:tcPr>
            <w:tcW w:w="9200" w:type="dxa"/>
            <w:tcBorders>
              <w:top w:val="single" w:color="auto" w:sz="4" w:space="0"/>
              <w:left w:val="single" w:color="auto" w:sz="4" w:space="0"/>
              <w:bottom w:val="single" w:color="auto" w:sz="4" w:space="0"/>
              <w:right w:val="single" w:color="auto" w:sz="4" w:space="0"/>
            </w:tcBorders>
            <w:vAlign w:val="top"/>
          </w:tcPr>
          <w:p>
            <w:pPr>
              <w:pStyle w:val="20"/>
              <w:spacing w:before="133" w:line="219" w:lineRule="auto"/>
              <w:ind w:left="104"/>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lang w:eastAsia="zh-CN"/>
              </w:rPr>
              <w:t>公益性岗位</w:t>
            </w:r>
            <w:r>
              <w:rPr>
                <w:rFonts w:hint="eastAsia" w:ascii="仿宋_GB2312" w:hAnsi="仿宋_GB2312" w:eastAsia="仿宋_GB2312" w:cs="仿宋_GB2312"/>
                <w:spacing w:val="-1"/>
                <w:sz w:val="24"/>
                <w:szCs w:val="24"/>
                <w:highlight w:val="none"/>
              </w:rPr>
              <w:t>人员满意度90%以上</w:t>
            </w:r>
          </w:p>
        </w:tc>
      </w:tr>
    </w:tbl>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（三）绩效评价工作过程。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该项目属于经常性支出，列入大城子镇人民政府一般预算支出，服务期限是一年，20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年项目总金额 1</w:t>
      </w:r>
      <w:r>
        <w:rPr>
          <w:rFonts w:hint="eastAsia" w:ascii="仿宋_GB2312" w:hAnsi="仿宋_GB2312" w:eastAsia="仿宋_GB2312" w:cs="仿宋_GB2312"/>
          <w:sz w:val="32"/>
          <w:szCs w:val="32"/>
          <w:highlight w:val="none"/>
          <w:lang w:val="en-US" w:eastAsia="zh-CN"/>
        </w:rPr>
        <w:t>50.48</w:t>
      </w:r>
      <w:r>
        <w:rPr>
          <w:rFonts w:hint="eastAsia" w:ascii="仿宋_GB2312" w:hAnsi="仿宋_GB2312" w:eastAsia="仿宋_GB2312" w:cs="仿宋_GB2312"/>
          <w:sz w:val="32"/>
          <w:szCs w:val="32"/>
          <w:highlight w:val="none"/>
        </w:rPr>
        <w:t>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见附件3</w:t>
      </w:r>
      <w:r>
        <w:rPr>
          <w:rFonts w:hint="eastAsia" w:ascii="黑体" w:hAnsi="黑体" w:eastAsia="黑体" w:cs="黑体"/>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通过拨付补助费用，解决本辖区内就业困难人员的人员安置问题，项目预期目标完成。</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大城子镇</w:t>
      </w:r>
      <w:r>
        <w:rPr>
          <w:rFonts w:hint="eastAsia" w:ascii="仿宋_GB2312" w:hAnsi="仿宋_GB2312" w:eastAsia="仿宋_GB2312" w:cs="仿宋_GB2312"/>
          <w:sz w:val="32"/>
          <w:szCs w:val="32"/>
          <w:highlight w:val="none"/>
          <w:lang w:val="en-US" w:eastAsia="zh-CN"/>
        </w:rPr>
        <w:t>就业服务中心</w:t>
      </w:r>
      <w:r>
        <w:rPr>
          <w:rFonts w:hint="eastAsia" w:ascii="仿宋_GB2312" w:hAnsi="仿宋_GB2312" w:eastAsia="仿宋_GB2312" w:cs="仿宋_GB2312"/>
          <w:sz w:val="32"/>
          <w:szCs w:val="32"/>
          <w:highlight w:val="none"/>
        </w:rPr>
        <w:t>根据每年符合条件人数，事前做好项目资金预算工资，做到按需申请。项目资金用于支付就业服务中心</w:t>
      </w:r>
      <w:r>
        <w:rPr>
          <w:rFonts w:hint="eastAsia" w:ascii="仿宋_GB2312" w:hAnsi="仿宋_GB2312" w:eastAsia="仿宋_GB2312" w:cs="仿宋_GB2312"/>
          <w:sz w:val="32"/>
          <w:szCs w:val="32"/>
          <w:highlight w:val="none"/>
          <w:lang w:eastAsia="zh-CN"/>
        </w:rPr>
        <w:t>公益性岗位</w:t>
      </w:r>
      <w:r>
        <w:rPr>
          <w:rFonts w:hint="eastAsia" w:ascii="仿宋_GB2312" w:hAnsi="仿宋_GB2312" w:eastAsia="仿宋_GB2312" w:cs="仿宋_GB2312"/>
          <w:sz w:val="32"/>
          <w:szCs w:val="32"/>
          <w:highlight w:val="none"/>
        </w:rPr>
        <w:t>补贴，为符合条件的人提供资金支持。</w:t>
      </w:r>
    </w:p>
    <w:p>
      <w:pPr>
        <w:spacing w:line="60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拨付金额参照北京市的最低工资标准，对符合条件的人，按年足额发放。总体绩效目标完成100%。</w:t>
      </w:r>
    </w:p>
    <w:p>
      <w:pPr>
        <w:numPr>
          <w:ilvl w:val="0"/>
          <w:numId w:val="2"/>
        </w:numPr>
        <w:spacing w:line="600" w:lineRule="exact"/>
        <w:ind w:firstLine="640" w:firstLineChars="200"/>
        <w:outlineLvl w:val="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项目效益情况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本项目为社会公益性项目，其成本就是提供公益性岗位的人员成本，为市级补助资金、区级匹配 专项资金和大城子镇人民政府的自筹资金，解决本辖区内就业困难人员的人员安置问题，无相关产出效果，但对社会效益有明显的促进作用。</w:t>
      </w:r>
    </w:p>
    <w:p>
      <w:pPr>
        <w:spacing w:line="6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通过查阅相关的财务资料，本项目对成本的管控方面比较完善，能够将成本控制在规定的最低限度内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相关的财务手续完备。</w:t>
      </w:r>
    </w:p>
    <w:p>
      <w:pPr>
        <w:spacing w:line="6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六、有关建议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在今后的工作中，进一步完善工作机制，改进工作方式，加强对项目资金的使用和监管力度，确保专项资金合理规范使用。</w:t>
      </w:r>
    </w:p>
    <w:p>
      <w:pPr>
        <w:pStyle w:val="3"/>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2024</w:t>
      </w:r>
      <w:r>
        <w:rPr>
          <w:rFonts w:hint="eastAsia" w:ascii="仿宋_GB2312" w:hAnsi="宋体" w:eastAsia="仿宋_GB2312"/>
          <w:sz w:val="28"/>
          <w:szCs w:val="28"/>
        </w:rPr>
        <w:t>年度）</w:t>
      </w:r>
    </w:p>
    <w:p>
      <w:pPr>
        <w:spacing w:line="240" w:lineRule="exact"/>
        <w:rPr>
          <w:rFonts w:ascii="仿宋_GB2312" w:hAnsi="宋体" w:eastAsia="仿宋_GB2312"/>
          <w:sz w:val="30"/>
          <w:szCs w:val="30"/>
        </w:rPr>
      </w:pPr>
    </w:p>
    <w:tbl>
      <w:tblPr>
        <w:tblStyle w:val="10"/>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就业服务中心公益性岗位就业补助</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便民服务中心</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便民服务中心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王艳凤</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61079588</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90.00</w:t>
            </w:r>
          </w:p>
        </w:tc>
        <w:tc>
          <w:tcPr>
            <w:tcW w:w="113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150.48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150.48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0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90.00</w:t>
            </w:r>
          </w:p>
        </w:tc>
        <w:tc>
          <w:tcPr>
            <w:tcW w:w="113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150.48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150.48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解决大城子镇“40、50”就业困难群体人员的就业问题，维护当地和谐稳定发展</w:t>
            </w:r>
          </w:p>
        </w:tc>
        <w:tc>
          <w:tcPr>
            <w:tcW w:w="338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val="en-US" w:eastAsia="zh-CN"/>
              </w:rPr>
              <w:t>资金拨付金额</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150.48</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150.48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val="en-US" w:eastAsia="zh-CN"/>
              </w:rPr>
              <w:t>资金拨付时间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12个月</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12个月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val="en-US" w:eastAsia="zh-CN"/>
              </w:rPr>
              <w:t>提高部分人员收入</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val="en-US" w:eastAsia="zh-CN"/>
              </w:rPr>
              <w:t>基层工作有序进行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完成</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val="en-US" w:eastAsia="zh-CN"/>
              </w:rPr>
              <w:t>生活条件得到改善</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改善</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改善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指标1：</w:t>
            </w:r>
            <w:r>
              <w:rPr>
                <w:rFonts w:hint="eastAsia" w:ascii="仿宋_GB2312" w:hAnsi="宋体" w:eastAsia="仿宋_GB2312" w:cs="宋体"/>
                <w:color w:val="000000"/>
                <w:kern w:val="0"/>
                <w:szCs w:val="21"/>
                <w:lang w:val="en-US" w:eastAsia="zh-CN"/>
              </w:rPr>
              <w:t>群众调查满意度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高于95%</w:t>
            </w: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4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718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spacing w:before="120" w:after="120"/>
      <w:rPr>
        <w:rStyle w:val="13"/>
      </w:rPr>
    </w:pPr>
    <w:r>
      <w:fldChar w:fldCharType="begin"/>
    </w:r>
    <w:r>
      <w:rPr>
        <w:rStyle w:val="13"/>
      </w:rPr>
      <w:instrText xml:space="preserve">PAGE  </w:instrText>
    </w:r>
    <w:r>
      <w:fldChar w:fldCharType="separate"/>
    </w:r>
    <w:r>
      <w:rPr>
        <w:rStyle w:val="13"/>
      </w:rPr>
      <w:t>5</w:t>
    </w:r>
    <w:r>
      <w:fldChar w:fldCharType="end"/>
    </w:r>
  </w:p>
  <w:p>
    <w:pPr>
      <w:pStyle w:val="7"/>
      <w:spacing w:before="120" w:after="120"/>
    </w:pPr>
  </w:p>
  <w:p>
    <w:pPr>
      <w:spacing w:before="120" w:after="120"/>
    </w:pPr>
  </w:p>
  <w:p>
    <w:pPr>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spacing w:before="120" w:after="120"/>
      <w:rPr>
        <w:rStyle w:val="13"/>
      </w:rPr>
    </w:pPr>
    <w:r>
      <w:fldChar w:fldCharType="begin"/>
    </w:r>
    <w:r>
      <w:rPr>
        <w:rStyle w:val="13"/>
      </w:rPr>
      <w:instrText xml:space="preserve">PAGE  </w:instrText>
    </w:r>
    <w:r>
      <w:fldChar w:fldCharType="separate"/>
    </w:r>
    <w:r>
      <w:rPr>
        <w:rStyle w:val="13"/>
      </w:rPr>
      <w:t>15</w:t>
    </w:r>
    <w:r>
      <w:fldChar w:fldCharType="end"/>
    </w:r>
  </w:p>
  <w:p>
    <w:pPr>
      <w:pStyle w:val="7"/>
      <w:spacing w:before="120" w:after="120"/>
    </w:pPr>
  </w:p>
  <w:p>
    <w:pPr>
      <w:spacing w:before="120" w:after="120"/>
    </w:pPr>
  </w:p>
  <w:p>
    <w:pPr>
      <w:spacing w:before="120" w:after="1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967E4"/>
    <w:multiLevelType w:val="singleLevel"/>
    <w:tmpl w:val="2CE967E4"/>
    <w:lvl w:ilvl="0" w:tentative="0">
      <w:start w:val="4"/>
      <w:numFmt w:val="chineseCounting"/>
      <w:suff w:val="nothing"/>
      <w:lvlText w:val="（%1）"/>
      <w:lvlJc w:val="left"/>
      <w:rPr>
        <w:rFonts w:hint="eastAsia"/>
      </w:rPr>
    </w:lvl>
  </w:abstractNum>
  <w:abstractNum w:abstractNumId="1">
    <w:nsid w:val="4BFDAD92"/>
    <w:multiLevelType w:val="singleLevel"/>
    <w:tmpl w:val="4BFDAD9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306"/>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2058"/>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28BD"/>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9423F"/>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6F05DE"/>
    <w:rsid w:val="02F120AB"/>
    <w:rsid w:val="04C3537C"/>
    <w:rsid w:val="06DA7205"/>
    <w:rsid w:val="079004AC"/>
    <w:rsid w:val="08AC5581"/>
    <w:rsid w:val="0BA148CA"/>
    <w:rsid w:val="0BB87C1F"/>
    <w:rsid w:val="0C1165C4"/>
    <w:rsid w:val="0DD136FE"/>
    <w:rsid w:val="0F8E2C57"/>
    <w:rsid w:val="1059665E"/>
    <w:rsid w:val="10AC13BA"/>
    <w:rsid w:val="145A6C1B"/>
    <w:rsid w:val="167A2FF9"/>
    <w:rsid w:val="18260484"/>
    <w:rsid w:val="1AEC0734"/>
    <w:rsid w:val="1DEF20B0"/>
    <w:rsid w:val="214243FA"/>
    <w:rsid w:val="21AD613C"/>
    <w:rsid w:val="23CD21DC"/>
    <w:rsid w:val="257A14F5"/>
    <w:rsid w:val="27196C26"/>
    <w:rsid w:val="27754B81"/>
    <w:rsid w:val="29EF086F"/>
    <w:rsid w:val="2EFFE297"/>
    <w:rsid w:val="301437CA"/>
    <w:rsid w:val="30B92363"/>
    <w:rsid w:val="349D1F0A"/>
    <w:rsid w:val="34DD0473"/>
    <w:rsid w:val="381E4A22"/>
    <w:rsid w:val="3AE920D3"/>
    <w:rsid w:val="3C684897"/>
    <w:rsid w:val="3DCA1E59"/>
    <w:rsid w:val="3F0F1503"/>
    <w:rsid w:val="433E495C"/>
    <w:rsid w:val="489F2FD7"/>
    <w:rsid w:val="4AC27CB3"/>
    <w:rsid w:val="4BF72BEF"/>
    <w:rsid w:val="4FA90297"/>
    <w:rsid w:val="4FC41A43"/>
    <w:rsid w:val="51DB3C59"/>
    <w:rsid w:val="550C0952"/>
    <w:rsid w:val="55762E42"/>
    <w:rsid w:val="56A95021"/>
    <w:rsid w:val="57A7B272"/>
    <w:rsid w:val="58470068"/>
    <w:rsid w:val="58747CAC"/>
    <w:rsid w:val="5A1720F9"/>
    <w:rsid w:val="5B9C37C2"/>
    <w:rsid w:val="5BA7C654"/>
    <w:rsid w:val="60A54109"/>
    <w:rsid w:val="61D01CDF"/>
    <w:rsid w:val="64C0607C"/>
    <w:rsid w:val="65756C86"/>
    <w:rsid w:val="674D385B"/>
    <w:rsid w:val="676F09E1"/>
    <w:rsid w:val="6A173B78"/>
    <w:rsid w:val="6A8B3D05"/>
    <w:rsid w:val="782D5A4D"/>
    <w:rsid w:val="785D1D4E"/>
    <w:rsid w:val="798524E4"/>
    <w:rsid w:val="7A7F1C49"/>
    <w:rsid w:val="7B5B7AE6"/>
    <w:rsid w:val="7B7B6628"/>
    <w:rsid w:val="7BA7071E"/>
    <w:rsid w:val="7BDF6DA8"/>
    <w:rsid w:val="7C7EDC1A"/>
    <w:rsid w:val="7CCED98D"/>
    <w:rsid w:val="7D08410F"/>
    <w:rsid w:val="7DB96DED"/>
    <w:rsid w:val="7DD3AD81"/>
    <w:rsid w:val="7F1B23C3"/>
    <w:rsid w:val="7F7FE70F"/>
    <w:rsid w:val="7FFF772F"/>
    <w:rsid w:val="95F35EF6"/>
    <w:rsid w:val="9BFFD860"/>
    <w:rsid w:val="AC5F73DE"/>
    <w:rsid w:val="B5DDD2C8"/>
    <w:rsid w:val="B9DFABD9"/>
    <w:rsid w:val="BC0D83FC"/>
    <w:rsid w:val="BDBB3622"/>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字符"/>
    <w:link w:val="7"/>
    <w:qFormat/>
    <w:uiPriority w:val="0"/>
    <w:rPr>
      <w:rFonts w:eastAsia="宋体"/>
      <w:kern w:val="2"/>
      <w:sz w:val="18"/>
      <w:szCs w:val="18"/>
      <w:lang w:val="en-US" w:eastAsia="zh-CN" w:bidi="ar-SA"/>
    </w:rPr>
  </w:style>
  <w:style w:type="character" w:customStyle="1" w:styleId="15">
    <w:name w:val="页眉 字符"/>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15055.6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2468.51</c:v>
                </c:pt>
                <c:pt idx="1">
                  <c:v>14875.06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1182</Words>
  <Characters>2802</Characters>
  <Lines>78</Lines>
  <Paragraphs>22</Paragraphs>
  <TotalTime>43</TotalTime>
  <ScaleCrop>false</ScaleCrop>
  <LinksUpToDate>false</LinksUpToDate>
  <CharactersWithSpaces>2811</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2017-07-11T23:16:00Z</dcterms:created>
  <dc:creator>常程</dc:creator>
  <cp:lastModifiedBy>刘晗</cp:lastModifiedBy>
  <cp:lastPrinted>2020-08-07T19:39:00Z</cp:lastPrinted>
  <dcterms:modified xsi:type="dcterms:W3CDTF">2026-02-28T15:22:26Z</dcterms:modified>
  <dc:title>北京市财政局关于做好向市人大常委会报送2015年度市级部门决算（草案）</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435078ACFECC4A5A8A519EF4C3681114_13</vt:lpwstr>
  </property>
  <property fmtid="{D5CDD505-2E9C-101B-9397-08002B2CF9AE}" pid="4" name="KSOTemplateDocerSaveRecord">
    <vt:lpwstr>eyJoZGlkIjoiZGI3OTA5N2MzYWFiYzAwNTg4YzQ4YTMwYjBjNGUzMmMiLCJ1c2VySWQiOiIyNDQ2MDUzMzkifQ==</vt:lpwstr>
  </property>
</Properties>
</file>