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北京市密云区2025年新增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地方政府债务限额、新增地方政府债务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和预算调整方案的报告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主任、各位副主任、各位委员：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受区人民政府委托，现将北京市密云区2025年新增地方政府债务限额、新增地方政府债务和预算调整方案的报告作如下说明，请予审议。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宋体" w:eastAsia="黑体"/>
          <w:color w:val="auto"/>
          <w:sz w:val="32"/>
          <w:szCs w:val="32"/>
          <w:highlight w:val="none"/>
          <w:lang w:val="en-US"/>
        </w:rPr>
      </w:pPr>
      <w:r>
        <w:rPr>
          <w:rFonts w:hint="eastAsia" w:ascii="黑体" w:hAnsi="宋体" w:eastAsia="黑体"/>
          <w:color w:val="auto"/>
          <w:sz w:val="32"/>
          <w:szCs w:val="32"/>
          <w:highlight w:val="none"/>
          <w:lang w:val="en-US" w:eastAsia="zh-CN"/>
        </w:rPr>
        <w:t>一、预算调整事项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新增地方政府债务限额情况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根据《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北京市财政局关于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提前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下达20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部分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新增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地方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政府债务限额的通知》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市政府批准，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市财政局下达我区202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年新增地方政府债务限额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144700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全部为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新增地方政府专项债务限额。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</w:rPr>
        <w:t>新增限额后，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eastAsia="zh-CN"/>
        </w:rPr>
        <w:t>我区地方政府债务限额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2896134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eastAsia="zh-CN"/>
        </w:rPr>
        <w:t>万元，其中：一般债务限额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1046422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eastAsia="zh-CN"/>
        </w:rPr>
        <w:t>万元，专项债务限额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1849712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highlight w:val="none"/>
          <w:lang w:eastAsia="zh-CN"/>
        </w:rPr>
        <w:t>万元。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新增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地方政府债务情况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根据《北京市财政局关于下达本市2025年地方政府新增债券转贷资金预算（提前批次）的通知》，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经市政府批准，市财政局下达我区202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年新增地方政府债券资金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144700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万元，其中：</w:t>
      </w:r>
      <w:r>
        <w:rPr>
          <w:rFonts w:hint="eastAsia" w:ascii="仿宋_GB2312" w:hAnsi="仿宋" w:eastAsia="仿宋_GB2312"/>
          <w:spacing w:val="-6"/>
          <w:sz w:val="32"/>
          <w:szCs w:val="32"/>
          <w:lang w:eastAsia="zh-CN"/>
        </w:rPr>
        <w:t>专项债券资金</w:t>
      </w:r>
      <w:r>
        <w:rPr>
          <w:rFonts w:hint="eastAsia" w:ascii="仿宋_GB2312" w:hAnsi="仿宋" w:eastAsia="仿宋_GB2312"/>
          <w:spacing w:val="-6"/>
          <w:sz w:val="32"/>
          <w:szCs w:val="32"/>
          <w:lang w:val="en-US" w:eastAsia="zh-CN"/>
        </w:rPr>
        <w:t>144700</w:t>
      </w:r>
      <w:r>
        <w:rPr>
          <w:rFonts w:hint="eastAsia" w:ascii="仿宋_GB2312" w:hAnsi="仿宋" w:eastAsia="仿宋_GB2312"/>
          <w:spacing w:val="-6"/>
          <w:sz w:val="32"/>
          <w:szCs w:val="32"/>
          <w:lang w:eastAsia="zh-CN"/>
        </w:rPr>
        <w:t>万元，用于密云镇大唐庄小唐庄王家楼棚户区改造项目、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经济开发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新建厂房及附属用房</w:t>
      </w:r>
      <w:r>
        <w:rPr>
          <w:rFonts w:hint="eastAsia" w:ascii="仿宋_GB2312" w:hAnsi="仿宋" w:eastAsia="仿宋_GB2312"/>
          <w:spacing w:val="-6"/>
          <w:sz w:val="32"/>
          <w:szCs w:val="32"/>
          <w:lang w:eastAsia="zh-CN"/>
        </w:rPr>
        <w:t>、水源路南侧C-2地块土地一级开发等项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目。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债券正式发行后，我区政府债务规模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2835176.72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万元，其中：一般债务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1042772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万元，专项债务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1792404.72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万元。不超过我区地方政府债务限额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2896134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再融资债券情况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eastAsia="zh-CN"/>
        </w:rPr>
        <w:t>根据《北京市财政局关于下达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本</w:t>
      </w:r>
      <w:r>
        <w:rPr>
          <w:rFonts w:hint="default" w:ascii="仿宋_GB2312" w:hAnsi="仿宋" w:eastAsia="仿宋_GB2312"/>
          <w:sz w:val="32"/>
          <w:szCs w:val="32"/>
          <w:lang w:eastAsia="zh-CN"/>
        </w:rPr>
        <w:t>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" w:eastAsia="仿宋_GB2312"/>
          <w:sz w:val="32"/>
          <w:szCs w:val="32"/>
          <w:lang w:eastAsia="zh-CN"/>
        </w:rPr>
        <w:t>年地方政府再融资债券发行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规模上限</w:t>
      </w:r>
      <w:r>
        <w:rPr>
          <w:rFonts w:hint="default" w:ascii="仿宋_GB2312" w:hAnsi="仿宋" w:eastAsia="仿宋_GB2312"/>
          <w:sz w:val="32"/>
          <w:szCs w:val="32"/>
          <w:lang w:eastAsia="zh-CN"/>
        </w:rPr>
        <w:t>及转贷资金预算的通知》,市财政局下达我区202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" w:eastAsia="仿宋_GB2312"/>
          <w:sz w:val="32"/>
          <w:szCs w:val="32"/>
          <w:lang w:eastAsia="zh-CN"/>
        </w:rPr>
        <w:t>年地方政府再融资债券资金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315351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</w:t>
      </w:r>
      <w:r>
        <w:rPr>
          <w:rFonts w:hint="default" w:ascii="仿宋_GB2312" w:hAnsi="仿宋" w:eastAsia="仿宋_GB2312"/>
          <w:sz w:val="32"/>
          <w:szCs w:val="32"/>
          <w:lang w:eastAsia="zh-CN"/>
        </w:rPr>
        <w:t>元，用于偿还当年到期政府债券。其中：一般债券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103522万</w:t>
      </w:r>
      <w:r>
        <w:rPr>
          <w:rFonts w:hint="default" w:ascii="仿宋_GB2312" w:hAnsi="仿宋" w:eastAsia="仿宋_GB2312"/>
          <w:sz w:val="32"/>
          <w:szCs w:val="32"/>
          <w:lang w:eastAsia="zh-CN"/>
        </w:rPr>
        <w:t>元，专项债券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211829万</w:t>
      </w:r>
      <w:r>
        <w:rPr>
          <w:rFonts w:hint="default" w:ascii="仿宋_GB2312" w:hAnsi="仿宋" w:eastAsia="仿宋_GB2312"/>
          <w:sz w:val="32"/>
          <w:szCs w:val="32"/>
          <w:lang w:eastAsia="zh-CN"/>
        </w:rPr>
        <w:t>元。再融资债券发行不增加政府债务总规模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，增加一般公共预算总收入和总支出</w:t>
      </w:r>
      <w:r>
        <w:rPr>
          <w:rFonts w:hint="default" w:ascii="仿宋_GB2312" w:hAnsi="仿宋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调入预算稳定调节基金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default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《中华人民共和国预算法》规定，各级一般公共预算年度执行中有超收收入的，只能用于冲减赤字或者补充预算稳定调节资金。在本次预算调整中，需要调入预算稳定调节基金26267万元，统筹用于政策性增资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未休年假补贴、土地流转等支出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二、预算调整方案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（一）一般公共预算调整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预算执行中，增加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地方政府一般债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务转贷收入（再融资）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103522万元，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增加调入预算稳定调节基金26267万元，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2025年一般公共预算总收入由1695787万元增加到1825576万元。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将地方政府一般债务转贷收入（再融资）、调入预算稳定调节基金等安排支出后，一般公共预算总支出由1695787万元增加到1825576万元。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调整后一般公共预算收支平衡。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（二）政府性基金预算调整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预算执行中，增加地方政府专项债务转贷收入（新增）144700万元，增加地方政府专项债务转贷收入（再融资）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211829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万元，政府性基金预算总收入由681506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万元增加到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1038035万元。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按照“以收定支”原则，将地方政府专项债务转贷收入（新增）、地方政府专项债务转贷收入（再融资）安排支出后，政府性基金预算总支出由681506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万元增加到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1038035万元。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调整后政府性基金预算收支平衡。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三、下一步工作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面贯彻落实《中华人民共和国预算法》《北京市密云区预算审查监督办法》有关规定，强化预算刚性约束，严格按照调整后的预算执行，切实做好财政预算管理工作，加强政府债务管理，科学合理安排政府债务规模，积极稳妥化解存量债务，完善债务风险预警机制，坚决守住不发生系统性金融风险的底线。同时，切实兜牢“三保”底线，坚持“三保”支出在财政支出中的优先顺序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促进2025年</w:t>
      </w:r>
      <w:r>
        <w:rPr>
          <w:rFonts w:hint="eastAsia" w:ascii="仿宋_GB2312" w:eastAsia="仿宋_GB2312"/>
          <w:sz w:val="32"/>
          <w:szCs w:val="32"/>
        </w:rPr>
        <w:t>预算执行平稳运行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1918" w:leftChars="304" w:hanging="1280" w:hangingChars="4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1918" w:leftChars="304" w:hanging="1280" w:hangingChars="4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附表：1.北京市密云区2025年新增地方政府债务（券）情况表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1916" w:leftChars="760" w:hanging="320" w:hangingChars="1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北京市密云区2025年再融资债券情况表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1916" w:leftChars="760" w:hanging="320" w:hangingChars="1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3.北京市密云区2025年一般公共预算支出调整预算表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1904" w:leftChars="760" w:hanging="308" w:hangingChars="1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4.北京市密云区2025年一般公共预算收支调整预算表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5.北京市密云区2025年政府性基金预算收支调整预算表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北京市密云区财政局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2025年2月10日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45395"/>
    <w:multiLevelType w:val="singleLevel"/>
    <w:tmpl w:val="8164539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B44B6"/>
    <w:rsid w:val="00522A98"/>
    <w:rsid w:val="02411391"/>
    <w:rsid w:val="03962949"/>
    <w:rsid w:val="03EF0E48"/>
    <w:rsid w:val="0625611A"/>
    <w:rsid w:val="077A20CF"/>
    <w:rsid w:val="07A552C8"/>
    <w:rsid w:val="09436D71"/>
    <w:rsid w:val="0BCF55CC"/>
    <w:rsid w:val="0D043E43"/>
    <w:rsid w:val="0D2B6D21"/>
    <w:rsid w:val="0EE61722"/>
    <w:rsid w:val="0F864D82"/>
    <w:rsid w:val="12AA6D09"/>
    <w:rsid w:val="14304214"/>
    <w:rsid w:val="14B62223"/>
    <w:rsid w:val="15583DEB"/>
    <w:rsid w:val="15EA6CEF"/>
    <w:rsid w:val="16AE751C"/>
    <w:rsid w:val="186A6F9D"/>
    <w:rsid w:val="1B743D81"/>
    <w:rsid w:val="1C847DBB"/>
    <w:rsid w:val="1D405496"/>
    <w:rsid w:val="1E762387"/>
    <w:rsid w:val="1E77387F"/>
    <w:rsid w:val="1EF34736"/>
    <w:rsid w:val="21877886"/>
    <w:rsid w:val="21B91D6C"/>
    <w:rsid w:val="21D746CE"/>
    <w:rsid w:val="240F035A"/>
    <w:rsid w:val="27762A22"/>
    <w:rsid w:val="2B3403BF"/>
    <w:rsid w:val="2B696DA0"/>
    <w:rsid w:val="2BB37892"/>
    <w:rsid w:val="2BD17467"/>
    <w:rsid w:val="2C092173"/>
    <w:rsid w:val="2CCD6BBC"/>
    <w:rsid w:val="2E364EB8"/>
    <w:rsid w:val="2E406E25"/>
    <w:rsid w:val="2EBA6070"/>
    <w:rsid w:val="30A96CFB"/>
    <w:rsid w:val="31DC370D"/>
    <w:rsid w:val="32150878"/>
    <w:rsid w:val="32825DF8"/>
    <w:rsid w:val="33310D0D"/>
    <w:rsid w:val="345516E5"/>
    <w:rsid w:val="348F15F6"/>
    <w:rsid w:val="364A1E72"/>
    <w:rsid w:val="37210F5B"/>
    <w:rsid w:val="37DF6984"/>
    <w:rsid w:val="3A3C2A8E"/>
    <w:rsid w:val="3AD469FB"/>
    <w:rsid w:val="3AE34E81"/>
    <w:rsid w:val="3BD16A7C"/>
    <w:rsid w:val="3C5D4C14"/>
    <w:rsid w:val="3DA46EC7"/>
    <w:rsid w:val="40511F9F"/>
    <w:rsid w:val="418E34DC"/>
    <w:rsid w:val="44753D83"/>
    <w:rsid w:val="44C47CA7"/>
    <w:rsid w:val="473163C7"/>
    <w:rsid w:val="48A33455"/>
    <w:rsid w:val="4CCB2F4E"/>
    <w:rsid w:val="4E2E64EF"/>
    <w:rsid w:val="4F201F06"/>
    <w:rsid w:val="4FD15D19"/>
    <w:rsid w:val="50975608"/>
    <w:rsid w:val="53881023"/>
    <w:rsid w:val="54804BF3"/>
    <w:rsid w:val="554328CD"/>
    <w:rsid w:val="555A251E"/>
    <w:rsid w:val="56877E5C"/>
    <w:rsid w:val="587421F4"/>
    <w:rsid w:val="5A0627D1"/>
    <w:rsid w:val="5A210101"/>
    <w:rsid w:val="5B315FEA"/>
    <w:rsid w:val="5E127A1F"/>
    <w:rsid w:val="5FB1EDBB"/>
    <w:rsid w:val="62E3144A"/>
    <w:rsid w:val="62E6316F"/>
    <w:rsid w:val="65C82FB0"/>
    <w:rsid w:val="66502110"/>
    <w:rsid w:val="665264B8"/>
    <w:rsid w:val="67B91A55"/>
    <w:rsid w:val="6AF554F5"/>
    <w:rsid w:val="6B957C0D"/>
    <w:rsid w:val="6CC77000"/>
    <w:rsid w:val="72A07E05"/>
    <w:rsid w:val="73C74855"/>
    <w:rsid w:val="764D0038"/>
    <w:rsid w:val="78561751"/>
    <w:rsid w:val="795A5AD3"/>
    <w:rsid w:val="796E44A5"/>
    <w:rsid w:val="79AD2949"/>
    <w:rsid w:val="7CF17164"/>
    <w:rsid w:val="7CFC1877"/>
    <w:rsid w:val="7DAB44B6"/>
    <w:rsid w:val="7E4E1304"/>
    <w:rsid w:val="7EC14AFE"/>
    <w:rsid w:val="8FEE79FD"/>
    <w:rsid w:val="FC7BC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8874"/>
      </w:tabs>
      <w:ind w:firstLine="480" w:firstLineChars="200"/>
      <w:jc w:val="left"/>
    </w:pPr>
    <w:rPr>
      <w:rFonts w:ascii="华文中宋" w:hAnsi="华文中宋" w:eastAsia="华文中宋"/>
      <w:sz w:val="24"/>
    </w:rPr>
  </w:style>
  <w:style w:type="paragraph" w:styleId="3">
    <w:name w:val="Date"/>
    <w:basedOn w:val="1"/>
    <w:next w:val="1"/>
    <w:qFormat/>
    <w:uiPriority w:val="0"/>
    <w:pPr>
      <w:adjustRightInd w:val="0"/>
      <w:jc w:val="left"/>
      <w:textAlignment w:val="baseline"/>
    </w:pPr>
    <w:rPr>
      <w:sz w:val="3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2025-02-10T08:35:00Z</dcterms:created>
  <dc:creator>李爽维</dc:creator>
  <cp:lastModifiedBy>huawei</cp:lastModifiedBy>
  <cp:lastPrinted>2025-02-14T08:56:00Z</cp:lastPrinted>
  <dcterms:modified xsi:type="dcterms:W3CDTF">2026-02-24T17:05:04Z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E76CCED32F477122B7699D6943814C88</vt:lpwstr>
  </property>
</Properties>
</file>