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790" w:tblpY="296"/>
        <w:tblOverlap w:val="never"/>
        <w:tblW w:w="13446" w:type="dxa"/>
        <w:tblInd w:w="0" w:type="dxa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8"/>
        <w:gridCol w:w="1685"/>
        <w:gridCol w:w="1558"/>
        <w:gridCol w:w="1729"/>
        <w:gridCol w:w="1534"/>
        <w:gridCol w:w="1766"/>
        <w:gridCol w:w="1515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13446" w:type="dxa"/>
            <w:gridSpan w:val="8"/>
            <w:tcBorders>
              <w:bottom w:val="single" w:color="auto" w:sz="1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jc w:val="center"/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36"/>
                <w:szCs w:val="36"/>
                <w:highlight w:val="none"/>
                <w:lang w:val="en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36"/>
                <w:szCs w:val="36"/>
                <w:highlight w:val="none"/>
                <w:lang w:val="en" w:eastAsia="zh-CN" w:bidi="ar-SA"/>
              </w:rPr>
              <w:t>年</w:t>
            </w:r>
            <w:r>
              <w:rPr>
                <w:rFonts w:hint="eastAsia" w:cs="Times New Roman"/>
                <w:b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  <w:t>1-3季度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36"/>
                <w:szCs w:val="36"/>
                <w:highlight w:val="none"/>
                <w:lang w:val="en" w:eastAsia="zh-CN" w:bidi="ar-SA"/>
              </w:rPr>
              <w:t>密云区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  <w:t>居民人均消费支出情况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40404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487" w:hRule="exact"/>
        </w:trPr>
        <w:tc>
          <w:tcPr>
            <w:tcW w:w="3658" w:type="dxa"/>
            <w:vMerge w:val="restart"/>
            <w:tcBorders>
              <w:top w:val="single" w:color="auto" w:sz="1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指 标 名 称</w:t>
            </w:r>
          </w:p>
        </w:tc>
        <w:tc>
          <w:tcPr>
            <w:tcW w:w="3243" w:type="dxa"/>
            <w:gridSpan w:val="2"/>
            <w:tcBorders>
              <w:top w:val="single" w:color="auto" w:sz="1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全区居民</w:t>
            </w:r>
          </w:p>
        </w:tc>
        <w:tc>
          <w:tcPr>
            <w:tcW w:w="3263" w:type="dxa"/>
            <w:gridSpan w:val="2"/>
            <w:tcBorders>
              <w:top w:val="single" w:color="auto" w:sz="1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atLeast"/>
              <w:ind w:left="0" w:leftChars="0" w:right="0" w:rightChars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城镇居民</w:t>
            </w:r>
          </w:p>
        </w:tc>
        <w:tc>
          <w:tcPr>
            <w:tcW w:w="3281" w:type="dxa"/>
            <w:gridSpan w:val="2"/>
            <w:tcBorders>
              <w:top w:val="single" w:color="auto" w:sz="1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atLeast"/>
              <w:ind w:left="0" w:leftChars="0" w:right="0" w:rightChars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农村居民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exact"/>
        </w:trPr>
        <w:tc>
          <w:tcPr>
            <w:tcW w:w="3658" w:type="dxa"/>
            <w:vMerge w:val="continue"/>
            <w:tcBorders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color="auto" w:sz="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</w:pP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202</w:t>
            </w: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1-3季度</w:t>
            </w:r>
          </w:p>
        </w:tc>
        <w:tc>
          <w:tcPr>
            <w:tcW w:w="1558" w:type="dxa"/>
            <w:tcBorders>
              <w:top w:val="single" w:color="auto" w:sz="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同比增长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  <w:t>(%)</w:t>
            </w:r>
          </w:p>
        </w:tc>
        <w:tc>
          <w:tcPr>
            <w:tcW w:w="1729" w:type="dxa"/>
            <w:tcBorders>
              <w:top w:val="single" w:color="auto" w:sz="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</w:pP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202</w:t>
            </w: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1-3季度</w:t>
            </w:r>
          </w:p>
        </w:tc>
        <w:tc>
          <w:tcPr>
            <w:tcW w:w="1534" w:type="dxa"/>
            <w:tcBorders>
              <w:top w:val="single" w:color="auto" w:sz="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atLeast"/>
              <w:ind w:left="0" w:leftChars="0" w:right="0" w:rightChars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同比增长（%）</w:t>
            </w:r>
          </w:p>
        </w:tc>
        <w:tc>
          <w:tcPr>
            <w:tcW w:w="1766" w:type="dxa"/>
            <w:tcBorders>
              <w:top w:val="single" w:color="auto" w:sz="2" w:space="0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</w:pP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202</w:t>
            </w: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Style w:val="9"/>
                <w:rFonts w:hint="default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1-3季度</w:t>
            </w:r>
          </w:p>
        </w:tc>
        <w:tc>
          <w:tcPr>
            <w:tcW w:w="1515" w:type="dxa"/>
            <w:tcBorders>
              <w:top w:val="single" w:color="auto" w:sz="2" w:space="0"/>
              <w:bottom w:val="single" w:color="auto" w:sz="2" w:space="0"/>
              <w:right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atLeast"/>
              <w:ind w:left="0" w:leftChars="0" w:right="0" w:rightChars="0"/>
              <w:jc w:val="center"/>
              <w:outlineLvl w:val="9"/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同比增长（%）</w:t>
            </w:r>
          </w:p>
        </w:tc>
        <w:tc>
          <w:tcPr>
            <w:tcW w:w="1" w:type="dxa"/>
            <w:tcBorders>
              <w:top w:val="single" w:color="auto" w:sz="2" w:space="0"/>
              <w:left w:val="nil"/>
              <w:bottom w:val="single" w:color="auto" w:sz="2" w:space="0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exact"/>
        </w:trPr>
        <w:tc>
          <w:tcPr>
            <w:tcW w:w="3658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" w:eastAsia="zh-CN"/>
              </w:rPr>
              <w:t>人均消费支出（元）</w:t>
            </w:r>
          </w:p>
        </w:tc>
        <w:tc>
          <w:tcPr>
            <w:tcW w:w="1685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22583 </w:t>
            </w:r>
          </w:p>
        </w:tc>
        <w:tc>
          <w:tcPr>
            <w:tcW w:w="1558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-0.5</w:t>
            </w:r>
          </w:p>
        </w:tc>
        <w:tc>
          <w:tcPr>
            <w:tcW w:w="1729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26756 </w:t>
            </w:r>
          </w:p>
        </w:tc>
        <w:tc>
          <w:tcPr>
            <w:tcW w:w="1534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-1.9</w:t>
            </w:r>
          </w:p>
        </w:tc>
        <w:tc>
          <w:tcPr>
            <w:tcW w:w="1766" w:type="dxa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16889 </w:t>
            </w:r>
          </w:p>
        </w:tc>
        <w:tc>
          <w:tcPr>
            <w:tcW w:w="1516" w:type="dxa"/>
            <w:gridSpan w:val="2"/>
            <w:tcBorders>
              <w:top w:val="single" w:color="auto" w:sz="2" w:space="0"/>
              <w:tl2br w:val="nil"/>
              <w:tr2bl w:val="nil"/>
            </w:tcBorders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2.5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outlineLvl w:val="9"/>
        <w:rPr>
          <w:rFonts w:hint="eastAsia" w:ascii="楷体_GB2312" w:hAnsi="宋体" w:eastAsia="楷体_GB2312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注释：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textAlignment w:val="auto"/>
        <w:rPr>
          <w:rFonts w:hint="default" w:ascii="楷体_GB2312" w:hAnsi="宋体" w:eastAsia="楷体_GB2312" w:cs="宋体"/>
          <w:b w:val="0"/>
          <w:bCs/>
          <w:kern w:val="0"/>
          <w:sz w:val="24"/>
          <w:szCs w:val="24"/>
          <w:lang w:val="en" w:eastAsia="zh-CN" w:bidi="ar-SA"/>
        </w:rPr>
      </w:pPr>
      <w:r>
        <w:rPr>
          <w:rFonts w:hint="eastAsia" w:ascii="楷体_GB2312" w:hAnsi="宋体" w:eastAsia="楷体_GB2312" w:cs="宋体"/>
          <w:b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楷体_GB2312" w:hAnsi="宋体" w:eastAsia="楷体_GB2312" w:cs="宋体"/>
          <w:b/>
          <w:kern w:val="0"/>
          <w:sz w:val="24"/>
          <w:szCs w:val="24"/>
          <w:lang w:val="en" w:eastAsia="zh-CN" w:bidi="ar-SA"/>
        </w:rPr>
        <w:t>统计范围：</w:t>
      </w:r>
      <w:r>
        <w:rPr>
          <w:rFonts w:hint="default" w:ascii="楷体_GB2312" w:hAnsi="宋体" w:eastAsia="楷体_GB2312" w:cs="宋体"/>
          <w:b w:val="0"/>
          <w:bCs/>
          <w:kern w:val="0"/>
          <w:sz w:val="24"/>
          <w:szCs w:val="24"/>
          <w:lang w:val="en" w:eastAsia="zh-CN" w:bidi="ar-SA"/>
        </w:rPr>
        <w:t>住户调查对象为中华人民共和国境内的住户，既包括城镇住户，也包括农村住户；既包括以家庭形式居住的户，也包括以集体形式居住的户。调查对象按照常住地确定，既包括户口在本地的住户，也包括户口在外地、但在本地居住一定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textAlignment w:val="auto"/>
        <w:rPr>
          <w:rFonts w:hint="default" w:ascii="楷体_GB2312" w:hAnsi="宋体" w:eastAsia="楷体_GB2312" w:cs="宋体"/>
          <w:b w:val="0"/>
          <w:bCs/>
          <w:kern w:val="0"/>
          <w:sz w:val="24"/>
          <w:szCs w:val="24"/>
          <w:lang w:val="en" w:eastAsia="zh-CN" w:bidi="ar-SA"/>
        </w:rPr>
      </w:pPr>
      <w:r>
        <w:rPr>
          <w:rFonts w:hint="default" w:ascii="楷体_GB2312" w:hAnsi="宋体" w:eastAsia="楷体_GB2312" w:cs="宋体"/>
          <w:b w:val="0"/>
          <w:bCs/>
          <w:kern w:val="0"/>
          <w:sz w:val="24"/>
          <w:szCs w:val="24"/>
          <w:lang w:val="en" w:eastAsia="zh-CN" w:bidi="ar-SA"/>
        </w:rPr>
        <w:t>间（通常为半年）以上的住户。城镇范围为《统计上划分城乡的规定》中被界定为“城镇”的区域，农村范围为《统计上划分城乡的规定》中被界定为“乡村”的区域。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both"/>
        <w:textAlignment w:val="auto"/>
        <w:outlineLvl w:val="9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  <w:r>
        <w:rPr>
          <w:rFonts w:hint="eastAsia" w:ascii="楷体_GB2312" w:hAnsi="宋体" w:eastAsia="楷体_GB2312" w:cs="宋体"/>
          <w:b/>
          <w:kern w:val="0"/>
          <w:sz w:val="24"/>
          <w:szCs w:val="24"/>
        </w:rPr>
        <w:t>2</w:t>
      </w:r>
      <w:r>
        <w:rPr>
          <w:rFonts w:hint="eastAsia" w:ascii="楷体_GB2312" w:hAnsi="宋体" w:eastAsia="楷体_GB2312" w:cs="宋体"/>
          <w:b/>
          <w:kern w:val="0"/>
          <w:sz w:val="24"/>
          <w:szCs w:val="24"/>
          <w:lang w:val="en-US" w:eastAsia="zh-CN"/>
        </w:rPr>
        <w:t>.</w:t>
      </w:r>
      <w:r>
        <w:rPr>
          <w:rFonts w:hint="eastAsia" w:ascii="楷体_GB2312" w:hAnsi="宋体" w:eastAsia="楷体_GB2312" w:cs="宋体"/>
          <w:b/>
          <w:kern w:val="0"/>
          <w:sz w:val="24"/>
          <w:szCs w:val="24"/>
        </w:rPr>
        <w:t>采集渠道：</w:t>
      </w:r>
      <w: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  <w:t>住户调查采用日记账和问卷调查相结合的方式采集基础数据。其中，居民现金收入与支出、实物收入与支出等内容主要使用记账方式采集。住户成员及劳动力从业情况、住房和耐用品拥有量情况、家庭经营和生产投资情况、社区基本情况及其他民生状况等资料使用问卷调查方式采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  <w:shd w:val="clear" w:color="auto" w:fill="auto"/>
          <w:lang w:eastAsia="zh-CN"/>
        </w:rPr>
      </w:pPr>
      <w:r>
        <w:rPr>
          <w:rFonts w:hint="eastAsia" w:ascii="楷体_GB2312" w:hAnsi="宋体" w:eastAsia="楷体_GB2312" w:cs="宋体"/>
          <w:b/>
          <w:kern w:val="0"/>
          <w:sz w:val="24"/>
          <w:szCs w:val="24"/>
          <w:lang w:val="en-US" w:eastAsia="zh-CN"/>
        </w:rPr>
        <w:t>3.</w:t>
      </w:r>
      <w:r>
        <w:rPr>
          <w:rFonts w:hint="eastAsia" w:ascii="楷体_GB2312" w:hAnsi="宋体" w:eastAsia="楷体_GB2312" w:cs="宋体"/>
          <w:b/>
          <w:kern w:val="0"/>
          <w:sz w:val="24"/>
          <w:szCs w:val="24"/>
        </w:rPr>
        <w:t>主要统计指标解释：</w:t>
      </w:r>
      <w: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  <w:t>消费支出：指住户用于满足家庭日常生活消费需要的全部支出，包括用于消费品的支出和用于服务性消费的支出。</w:t>
      </w:r>
    </w:p>
    <w:p>
      <w:pPr>
        <w:pStyle w:val="2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pStyle w:val="2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pStyle w:val="2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pStyle w:val="2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pStyle w:val="2"/>
        <w:rPr>
          <w:rFonts w:hint="eastAsia" w:ascii="楷体_GB2312" w:hAnsi="宋体" w:eastAsia="楷体_GB2312" w:cs="宋体"/>
          <w:b w:val="0"/>
          <w:bCs/>
          <w:kern w:val="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pStyle w:val="2"/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pStyle w:val="2"/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pStyle w:val="2"/>
        <w:rPr>
          <w:rFonts w:hint="eastAsia"/>
          <w:b/>
          <w:color w:val="0000FF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outlineLvl w:val="9"/>
        <w:rPr>
          <w:rFonts w:hint="eastAsia"/>
          <w:b/>
          <w:color w:val="0000FF"/>
          <w:sz w:val="36"/>
          <w:szCs w:val="36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汉仪叶叶相思体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0E60DDE"/>
    <w:rsid w:val="01DE4569"/>
    <w:rsid w:val="01EA0DDF"/>
    <w:rsid w:val="021113C5"/>
    <w:rsid w:val="02383BF7"/>
    <w:rsid w:val="04B3291D"/>
    <w:rsid w:val="05144DE3"/>
    <w:rsid w:val="056063CD"/>
    <w:rsid w:val="0638629E"/>
    <w:rsid w:val="065A435E"/>
    <w:rsid w:val="0693162F"/>
    <w:rsid w:val="06BD48AA"/>
    <w:rsid w:val="08FE4A5D"/>
    <w:rsid w:val="09350139"/>
    <w:rsid w:val="0979482C"/>
    <w:rsid w:val="09B712A8"/>
    <w:rsid w:val="0AC36A44"/>
    <w:rsid w:val="0B332A8D"/>
    <w:rsid w:val="0B55531A"/>
    <w:rsid w:val="0B7B2A58"/>
    <w:rsid w:val="0BD8075B"/>
    <w:rsid w:val="0BFA39C5"/>
    <w:rsid w:val="0C683C8D"/>
    <w:rsid w:val="0CA36702"/>
    <w:rsid w:val="0E4220D5"/>
    <w:rsid w:val="0E927B34"/>
    <w:rsid w:val="0EDD0097"/>
    <w:rsid w:val="103E310E"/>
    <w:rsid w:val="118634F1"/>
    <w:rsid w:val="12917D5A"/>
    <w:rsid w:val="13BA65BA"/>
    <w:rsid w:val="13C96186"/>
    <w:rsid w:val="13DB96C9"/>
    <w:rsid w:val="141623DE"/>
    <w:rsid w:val="14F7642E"/>
    <w:rsid w:val="163459DA"/>
    <w:rsid w:val="169355EC"/>
    <w:rsid w:val="169D32DA"/>
    <w:rsid w:val="172B5C42"/>
    <w:rsid w:val="176149FE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D46D9A"/>
    <w:rsid w:val="1D8D5B77"/>
    <w:rsid w:val="1D98136E"/>
    <w:rsid w:val="1DFB1785"/>
    <w:rsid w:val="1EB84662"/>
    <w:rsid w:val="1FFF4CB5"/>
    <w:rsid w:val="21382369"/>
    <w:rsid w:val="21784A05"/>
    <w:rsid w:val="22DB4243"/>
    <w:rsid w:val="23543D99"/>
    <w:rsid w:val="236F1C12"/>
    <w:rsid w:val="248C2EED"/>
    <w:rsid w:val="256C6363"/>
    <w:rsid w:val="25A15611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94053E"/>
    <w:rsid w:val="2BEF4705"/>
    <w:rsid w:val="2C644628"/>
    <w:rsid w:val="2C6C1E73"/>
    <w:rsid w:val="2CAC1CFC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F1FAD"/>
    <w:rsid w:val="31767B07"/>
    <w:rsid w:val="32326294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7EF20A6"/>
    <w:rsid w:val="38AC4A90"/>
    <w:rsid w:val="390838A8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6C3C4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831CFB"/>
    <w:rsid w:val="41A3549E"/>
    <w:rsid w:val="426042E3"/>
    <w:rsid w:val="42D90AF2"/>
    <w:rsid w:val="440C601A"/>
    <w:rsid w:val="441A04D4"/>
    <w:rsid w:val="45303EA9"/>
    <w:rsid w:val="457E2433"/>
    <w:rsid w:val="46216826"/>
    <w:rsid w:val="46FF42F7"/>
    <w:rsid w:val="475234D8"/>
    <w:rsid w:val="476A13E8"/>
    <w:rsid w:val="47790412"/>
    <w:rsid w:val="47A86E6D"/>
    <w:rsid w:val="47E027CA"/>
    <w:rsid w:val="47FEAB4D"/>
    <w:rsid w:val="482B7FAE"/>
    <w:rsid w:val="489B5BDB"/>
    <w:rsid w:val="4937785D"/>
    <w:rsid w:val="49BE60A4"/>
    <w:rsid w:val="4AE90A8D"/>
    <w:rsid w:val="4B3D5C27"/>
    <w:rsid w:val="4B4551F2"/>
    <w:rsid w:val="4B69684E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C16E48"/>
    <w:rsid w:val="4FF703F7"/>
    <w:rsid w:val="50D8657E"/>
    <w:rsid w:val="51512E17"/>
    <w:rsid w:val="526977BB"/>
    <w:rsid w:val="52FB1BC2"/>
    <w:rsid w:val="53771F82"/>
    <w:rsid w:val="53EF48C2"/>
    <w:rsid w:val="53F57A86"/>
    <w:rsid w:val="54895C40"/>
    <w:rsid w:val="54F42AFF"/>
    <w:rsid w:val="55600A1D"/>
    <w:rsid w:val="5567A25D"/>
    <w:rsid w:val="55B05FB6"/>
    <w:rsid w:val="560D74DF"/>
    <w:rsid w:val="567412A4"/>
    <w:rsid w:val="568A0C6F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DBB03DB"/>
    <w:rsid w:val="5DFBF734"/>
    <w:rsid w:val="5EAB0742"/>
    <w:rsid w:val="5FBF9E10"/>
    <w:rsid w:val="5FBFBE8E"/>
    <w:rsid w:val="5FC37593"/>
    <w:rsid w:val="5FDF0B1C"/>
    <w:rsid w:val="60FA610A"/>
    <w:rsid w:val="613D007B"/>
    <w:rsid w:val="61C65AFE"/>
    <w:rsid w:val="62578C3C"/>
    <w:rsid w:val="62612361"/>
    <w:rsid w:val="62DA1EB8"/>
    <w:rsid w:val="639114E6"/>
    <w:rsid w:val="63EFECBF"/>
    <w:rsid w:val="65683EA1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F16919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27AA7EB"/>
    <w:rsid w:val="737B2704"/>
    <w:rsid w:val="73A6F0C8"/>
    <w:rsid w:val="73CC0211"/>
    <w:rsid w:val="73EFABBB"/>
    <w:rsid w:val="741F23A4"/>
    <w:rsid w:val="74501C96"/>
    <w:rsid w:val="757EAA3D"/>
    <w:rsid w:val="75DFCC41"/>
    <w:rsid w:val="75E61BEE"/>
    <w:rsid w:val="75EE766E"/>
    <w:rsid w:val="75F745C8"/>
    <w:rsid w:val="7607511D"/>
    <w:rsid w:val="76416649"/>
    <w:rsid w:val="765833C3"/>
    <w:rsid w:val="77166765"/>
    <w:rsid w:val="7720627A"/>
    <w:rsid w:val="778962BC"/>
    <w:rsid w:val="779A0842"/>
    <w:rsid w:val="779A77AC"/>
    <w:rsid w:val="77E9D9C2"/>
    <w:rsid w:val="77F30C7B"/>
    <w:rsid w:val="78067FFA"/>
    <w:rsid w:val="78B553DE"/>
    <w:rsid w:val="78E85C94"/>
    <w:rsid w:val="791B108A"/>
    <w:rsid w:val="797D4315"/>
    <w:rsid w:val="7A100E94"/>
    <w:rsid w:val="7AAF36B2"/>
    <w:rsid w:val="7AC2683B"/>
    <w:rsid w:val="7B423B59"/>
    <w:rsid w:val="7B6FE944"/>
    <w:rsid w:val="7BA04E44"/>
    <w:rsid w:val="7BA3EC91"/>
    <w:rsid w:val="7BE787CF"/>
    <w:rsid w:val="7C58388D"/>
    <w:rsid w:val="7C7A5981"/>
    <w:rsid w:val="7CA47C9F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5E5D34"/>
    <w:rsid w:val="7F7FD02C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E48B"/>
    <w:rsid w:val="C7F7F066"/>
    <w:rsid w:val="CBFF8A60"/>
    <w:rsid w:val="CD3B0D55"/>
    <w:rsid w:val="CDD3AF60"/>
    <w:rsid w:val="D57D44D0"/>
    <w:rsid w:val="D77C360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5FF6C02"/>
    <w:rsid w:val="F69F3012"/>
    <w:rsid w:val="F6FE7D1F"/>
    <w:rsid w:val="F77E2CBB"/>
    <w:rsid w:val="F7AB5BD3"/>
    <w:rsid w:val="F7B564CC"/>
    <w:rsid w:val="F7BFE11D"/>
    <w:rsid w:val="F7F25219"/>
    <w:rsid w:val="F7FA03BC"/>
    <w:rsid w:val="F7FEBE30"/>
    <w:rsid w:val="F83BBFE8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6BF259"/>
    <w:rsid w:val="FF9FF837"/>
    <w:rsid w:val="FFAD37E5"/>
    <w:rsid w:val="FFBEC56A"/>
    <w:rsid w:val="FFD36341"/>
    <w:rsid w:val="FFD783A1"/>
    <w:rsid w:val="FFD83BD6"/>
    <w:rsid w:val="FFDB47DB"/>
    <w:rsid w:val="FFDDC2DC"/>
    <w:rsid w:val="FFDF4CDE"/>
    <w:rsid w:val="FFDFD5D3"/>
    <w:rsid w:val="FFE6752D"/>
    <w:rsid w:val="FFEF1636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楷体_GB2312"/>
    </w:rPr>
  </w:style>
  <w:style w:type="paragraph" w:customStyle="1" w:styleId="3">
    <w:name w:val="索引 81"/>
    <w:next w:val="1"/>
    <w:qFormat/>
    <w:uiPriority w:val="0"/>
    <w:pPr>
      <w:widowControl w:val="0"/>
      <w:ind w:left="294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sa-IN"/>
    </w:rPr>
  </w:style>
  <w:style w:type="paragraph" w:styleId="4">
    <w:name w:val="annotation text"/>
    <w:basedOn w:val="1"/>
    <w:link w:val="10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8</TotalTime>
  <ScaleCrop>false</ScaleCrop>
  <LinksUpToDate>false</LinksUpToDate>
  <CharactersWithSpaces>2655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2020-08-22T09:20:00Z</dcterms:created>
  <dc:creator>NTKO</dc:creator>
  <cp:lastModifiedBy>uos</cp:lastModifiedBy>
  <cp:lastPrinted>2026-10-28T00:50:00Z</cp:lastPrinted>
  <dcterms:modified xsi:type="dcterms:W3CDTF">2026-10-28T16:17:18Z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3096BBF5564207CDFA7770691B15B47A</vt:lpwstr>
  </property>
</Properties>
</file>