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jc w:val="center"/>
        <w:outlineLvl w:val="9"/>
        <w:rPr>
          <w:rFonts w:hint="eastAsia"/>
          <w:b/>
          <w:color w:val="auto"/>
          <w:sz w:val="36"/>
          <w:szCs w:val="36"/>
        </w:rPr>
      </w:pPr>
      <w:r>
        <w:rPr>
          <w:rFonts w:hint="default"/>
          <w:b/>
          <w:color w:val="auto"/>
          <w:sz w:val="36"/>
          <w:szCs w:val="36"/>
          <w:lang w:val="en" w:eastAsia="zh-CN"/>
        </w:rPr>
        <w:t>202</w:t>
      </w:r>
      <w:r>
        <w:rPr>
          <w:rFonts w:hint="eastAsia"/>
          <w:b/>
          <w:color w:val="auto"/>
          <w:sz w:val="36"/>
          <w:szCs w:val="36"/>
          <w:lang w:val="en-US" w:eastAsia="zh-CN"/>
        </w:rPr>
        <w:t>6</w:t>
      </w:r>
      <w:r>
        <w:rPr>
          <w:rFonts w:hint="default"/>
          <w:b/>
          <w:color w:val="auto"/>
          <w:sz w:val="36"/>
          <w:szCs w:val="36"/>
          <w:lang w:val="en" w:eastAsia="zh-CN"/>
        </w:rPr>
        <w:t>年</w:t>
      </w:r>
      <w:r>
        <w:rPr>
          <w:rFonts w:hint="eastAsia"/>
          <w:b/>
          <w:color w:val="auto"/>
          <w:sz w:val="36"/>
          <w:szCs w:val="36"/>
          <w:lang w:val="en-US" w:eastAsia="zh-CN"/>
        </w:rPr>
        <w:t>1-3季度</w:t>
      </w:r>
      <w:r>
        <w:rPr>
          <w:rFonts w:hint="eastAsia"/>
          <w:b/>
          <w:color w:val="auto"/>
          <w:sz w:val="36"/>
          <w:szCs w:val="36"/>
          <w:lang w:val="en" w:eastAsia="zh-CN"/>
        </w:rPr>
        <w:t>密云区</w:t>
      </w:r>
      <w:r>
        <w:rPr>
          <w:rFonts w:hint="eastAsia"/>
          <w:b/>
          <w:color w:val="auto"/>
          <w:sz w:val="36"/>
          <w:szCs w:val="36"/>
        </w:rPr>
        <w:t>农林牧渔业生产情况</w:t>
      </w:r>
    </w:p>
    <w:tbl>
      <w:tblPr>
        <w:tblStyle w:val="6"/>
        <w:tblW w:w="13258" w:type="dxa"/>
        <w:jc w:val="center"/>
        <w:tblBorders>
          <w:top w:val="single" w:color="auto" w:sz="12"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5443"/>
        <w:gridCol w:w="2844"/>
        <w:gridCol w:w="2530"/>
        <w:gridCol w:w="2441"/>
      </w:tblGrid>
      <w:tr>
        <w:tblPrEx>
          <w:tblBorders>
            <w:top w:val="single" w:color="auto" w:sz="12"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527" w:hRule="exact"/>
          <w:jc w:val="center"/>
        </w:trPr>
        <w:tc>
          <w:tcPr>
            <w:tcW w:w="5443"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jc w:val="center"/>
              <w:outlineLvl w:val="9"/>
              <w:rPr>
                <w:rFonts w:ascii="宋体" w:hAnsi="宋体" w:cs="宋体"/>
                <w:kern w:val="0"/>
                <w:sz w:val="24"/>
              </w:rPr>
            </w:pPr>
            <w:r>
              <w:rPr>
                <w:rFonts w:hint="eastAsia" w:ascii="宋体" w:hAnsi="宋体" w:cs="宋体"/>
                <w:kern w:val="0"/>
                <w:sz w:val="24"/>
              </w:rPr>
              <w:t>项  目</w:t>
            </w:r>
          </w:p>
        </w:tc>
        <w:tc>
          <w:tcPr>
            <w:tcW w:w="2844"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jc w:val="center"/>
              <w:outlineLvl w:val="9"/>
              <w:rPr>
                <w:rFonts w:hint="default" w:ascii="宋体" w:hAnsi="宋体" w:cs="宋体"/>
                <w:kern w:val="0"/>
                <w:sz w:val="24"/>
                <w:highlight w:val="none"/>
                <w:lang w:val="en-US"/>
              </w:rPr>
            </w:pPr>
            <w:r>
              <w:rPr>
                <w:rFonts w:hint="default" w:ascii="宋体" w:hAnsi="宋体" w:cs="宋体"/>
                <w:kern w:val="0"/>
                <w:sz w:val="24"/>
                <w:lang w:val="en" w:eastAsia="zh-CN"/>
              </w:rPr>
              <w:t>202</w:t>
            </w:r>
            <w:r>
              <w:rPr>
                <w:rFonts w:hint="eastAsia" w:ascii="宋体" w:hAnsi="宋体" w:cs="宋体"/>
                <w:kern w:val="0"/>
                <w:sz w:val="24"/>
                <w:lang w:val="en-US" w:eastAsia="zh-CN"/>
              </w:rPr>
              <w:t>6</w:t>
            </w:r>
            <w:r>
              <w:rPr>
                <w:rFonts w:hint="default" w:ascii="宋体" w:hAnsi="宋体" w:cs="宋体"/>
                <w:kern w:val="0"/>
                <w:sz w:val="24"/>
                <w:lang w:val="en" w:eastAsia="zh-CN"/>
              </w:rPr>
              <w:t>年</w:t>
            </w:r>
            <w:r>
              <w:rPr>
                <w:rFonts w:hint="eastAsia" w:ascii="宋体" w:hAnsi="宋体" w:cs="宋体"/>
                <w:kern w:val="0"/>
                <w:sz w:val="24"/>
                <w:lang w:val="en-US" w:eastAsia="zh-CN"/>
              </w:rPr>
              <w:t>1-3季度</w:t>
            </w:r>
          </w:p>
        </w:tc>
        <w:tc>
          <w:tcPr>
            <w:tcW w:w="2530"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jc w:val="center"/>
              <w:outlineLvl w:val="9"/>
              <w:rPr>
                <w:rFonts w:hint="default" w:ascii="宋体" w:hAnsi="宋体" w:cs="宋体"/>
                <w:b/>
                <w:bCs/>
                <w:kern w:val="0"/>
                <w:sz w:val="24"/>
                <w:highlight w:val="none"/>
                <w:lang w:val="en-US"/>
              </w:rPr>
            </w:pPr>
            <w:r>
              <w:rPr>
                <w:rFonts w:hint="default" w:ascii="宋体" w:hAnsi="宋体" w:cs="宋体"/>
                <w:kern w:val="0"/>
                <w:sz w:val="24"/>
                <w:lang w:val="en" w:eastAsia="zh-CN"/>
              </w:rPr>
              <w:t>202</w:t>
            </w:r>
            <w:r>
              <w:rPr>
                <w:rFonts w:hint="eastAsia" w:ascii="宋体" w:hAnsi="宋体" w:cs="宋体"/>
                <w:kern w:val="0"/>
                <w:sz w:val="24"/>
                <w:lang w:val="en-US" w:eastAsia="zh-CN"/>
              </w:rPr>
              <w:t>5</w:t>
            </w:r>
            <w:r>
              <w:rPr>
                <w:rFonts w:hint="default" w:ascii="宋体" w:hAnsi="宋体" w:cs="宋体"/>
                <w:kern w:val="0"/>
                <w:sz w:val="24"/>
                <w:lang w:val="en" w:eastAsia="zh-CN"/>
              </w:rPr>
              <w:t>年</w:t>
            </w:r>
            <w:r>
              <w:rPr>
                <w:rFonts w:hint="eastAsia" w:ascii="宋体" w:hAnsi="宋体" w:cs="宋体"/>
                <w:kern w:val="0"/>
                <w:sz w:val="24"/>
                <w:lang w:val="en-US" w:eastAsia="zh-CN"/>
              </w:rPr>
              <w:t>1-3季度</w:t>
            </w:r>
          </w:p>
        </w:tc>
        <w:tc>
          <w:tcPr>
            <w:tcW w:w="2441"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jc w:val="center"/>
              <w:outlineLvl w:val="9"/>
              <w:rPr>
                <w:rFonts w:ascii="宋体" w:hAnsi="宋体" w:cs="宋体"/>
                <w:kern w:val="0"/>
                <w:sz w:val="24"/>
                <w:highlight w:val="none"/>
              </w:rPr>
            </w:pPr>
            <w:r>
              <w:rPr>
                <w:rFonts w:hint="eastAsia" w:ascii="宋体" w:hAnsi="宋体" w:cs="宋体"/>
                <w:kern w:val="0"/>
                <w:sz w:val="24"/>
                <w:highlight w:val="none"/>
              </w:rPr>
              <w:t>同比增长（%）</w:t>
            </w:r>
          </w:p>
        </w:tc>
      </w:tr>
      <w:tr>
        <w:tblPrEx>
          <w:tblBorders>
            <w:top w:val="single" w:color="auto" w:sz="12"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560" w:hRule="atLeast"/>
          <w:jc w:val="center"/>
        </w:trPr>
        <w:tc>
          <w:tcPr>
            <w:tcW w:w="5443" w:type="dxa"/>
            <w:tcBorders>
              <w:top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left"/>
              <w:outlineLvl w:val="9"/>
              <w:rPr>
                <w:rFonts w:ascii="宋体" w:hAnsi="宋体" w:cs="宋体"/>
                <w:b/>
                <w:kern w:val="0"/>
                <w:sz w:val="24"/>
              </w:rPr>
            </w:pPr>
            <w:r>
              <w:rPr>
                <w:rFonts w:hint="eastAsia" w:ascii="宋体" w:hAnsi="宋体" w:cs="宋体"/>
                <w:b/>
                <w:kern w:val="0"/>
                <w:sz w:val="24"/>
              </w:rPr>
              <w:t>农林牧渔业总产值（</w:t>
            </w:r>
            <w:r>
              <w:rPr>
                <w:rFonts w:hint="eastAsia" w:ascii="宋体" w:hAnsi="宋体" w:cs="宋体"/>
                <w:b/>
                <w:kern w:val="0"/>
                <w:sz w:val="24"/>
                <w:lang w:eastAsia="zh-CN"/>
              </w:rPr>
              <w:t>万</w:t>
            </w:r>
            <w:r>
              <w:rPr>
                <w:rFonts w:hint="eastAsia" w:ascii="宋体" w:hAnsi="宋体" w:cs="宋体"/>
                <w:b/>
                <w:kern w:val="0"/>
                <w:sz w:val="24"/>
              </w:rPr>
              <w:t>元）</w:t>
            </w:r>
          </w:p>
        </w:tc>
        <w:tc>
          <w:tcPr>
            <w:tcW w:w="2844" w:type="dxa"/>
            <w:tcBorders>
              <w:top w:val="single" w:color="auto" w:sz="4" w:space="0"/>
              <w:tl2br w:val="nil"/>
              <w:tr2bl w:val="nil"/>
            </w:tcBorders>
            <w:vAlign w:val="center"/>
          </w:tcPr>
          <w:p>
            <w:pPr>
              <w:keepNext w:val="0"/>
              <w:keepLines w:val="0"/>
              <w:widowControl/>
              <w:suppressLineNumbers w:val="0"/>
              <w:jc w:val="right"/>
              <w:textAlignment w:val="center"/>
              <w:rPr>
                <w:rFonts w:hint="eastAsia" w:ascii="宋体" w:hAnsi="宋体" w:eastAsia="宋体" w:cs="宋体"/>
                <w:b/>
                <w:bCs w:val="0"/>
                <w:kern w:val="0"/>
                <w:sz w:val="28"/>
                <w:szCs w:val="28"/>
              </w:rPr>
            </w:pPr>
            <w:r>
              <w:rPr>
                <w:rFonts w:hint="eastAsia" w:ascii="宋体" w:hAnsi="宋体" w:eastAsia="宋体" w:cs="宋体"/>
                <w:b/>
                <w:bCs w:val="0"/>
                <w:i w:val="0"/>
                <w:color w:val="000000"/>
                <w:kern w:val="0"/>
                <w:sz w:val="24"/>
                <w:szCs w:val="24"/>
                <w:u w:val="none"/>
                <w:lang w:val="en-US" w:eastAsia="zh-CN" w:bidi="ar"/>
              </w:rPr>
              <w:t xml:space="preserve">153207  </w:t>
            </w:r>
          </w:p>
        </w:tc>
        <w:tc>
          <w:tcPr>
            <w:tcW w:w="2530" w:type="dxa"/>
            <w:tcBorders>
              <w:top w:val="single" w:color="auto" w:sz="4" w:space="0"/>
              <w:tl2br w:val="nil"/>
              <w:tr2bl w:val="nil"/>
            </w:tcBorders>
            <w:vAlign w:val="center"/>
          </w:tcPr>
          <w:p>
            <w:pPr>
              <w:keepNext w:val="0"/>
              <w:keepLines w:val="0"/>
              <w:widowControl/>
              <w:suppressLineNumbers w:val="0"/>
              <w:jc w:val="right"/>
              <w:textAlignment w:val="center"/>
              <w:rPr>
                <w:rFonts w:hint="eastAsia" w:ascii="宋体" w:hAnsi="宋体" w:eastAsia="宋体" w:cs="宋体"/>
                <w:b/>
                <w:bCs w:val="0"/>
                <w:i w:val="0"/>
                <w:color w:val="000000"/>
                <w:kern w:val="0"/>
                <w:sz w:val="28"/>
                <w:szCs w:val="28"/>
                <w:u w:val="none"/>
                <w:lang w:val="en-US" w:eastAsia="zh-CN" w:bidi="ar"/>
              </w:rPr>
            </w:pPr>
            <w:r>
              <w:rPr>
                <w:rFonts w:hint="eastAsia" w:ascii="宋体" w:hAnsi="宋体" w:eastAsia="宋体" w:cs="宋体"/>
                <w:b/>
                <w:bCs w:val="0"/>
                <w:i w:val="0"/>
                <w:color w:val="000000"/>
                <w:kern w:val="0"/>
                <w:sz w:val="24"/>
                <w:szCs w:val="24"/>
                <w:u w:val="none"/>
                <w:lang w:val="en-US" w:eastAsia="zh-CN" w:bidi="ar"/>
              </w:rPr>
              <w:t xml:space="preserve">151624  </w:t>
            </w:r>
          </w:p>
        </w:tc>
        <w:tc>
          <w:tcPr>
            <w:tcW w:w="2441" w:type="dxa"/>
            <w:tcBorders>
              <w:top w:val="single" w:color="auto" w:sz="4" w:space="0"/>
              <w:tl2br w:val="nil"/>
              <w:tr2bl w:val="nil"/>
            </w:tcBorders>
            <w:vAlign w:val="center"/>
          </w:tcPr>
          <w:p>
            <w:pPr>
              <w:keepNext w:val="0"/>
              <w:keepLines w:val="0"/>
              <w:widowControl/>
              <w:suppressLineNumbers w:val="0"/>
              <w:jc w:val="right"/>
              <w:textAlignment w:val="center"/>
              <w:rPr>
                <w:rFonts w:hint="eastAsia" w:ascii="宋体" w:hAnsi="宋体" w:eastAsia="宋体" w:cs="宋体"/>
                <w:b/>
                <w:bCs w:val="0"/>
                <w:i w:val="0"/>
                <w:color w:val="000000"/>
                <w:kern w:val="0"/>
                <w:sz w:val="28"/>
                <w:szCs w:val="28"/>
                <w:u w:val="none"/>
                <w:lang w:val="en-US" w:eastAsia="zh-CN" w:bidi="ar"/>
              </w:rPr>
            </w:pPr>
            <w:r>
              <w:rPr>
                <w:rFonts w:hint="eastAsia" w:ascii="宋体" w:hAnsi="宋体" w:cs="宋体"/>
                <w:b/>
                <w:bCs w:val="0"/>
                <w:i w:val="0"/>
                <w:color w:val="000000"/>
                <w:kern w:val="0"/>
                <w:sz w:val="24"/>
                <w:szCs w:val="24"/>
                <w:u w:val="none"/>
                <w:lang w:val="en-US" w:eastAsia="zh-CN" w:bidi="ar"/>
              </w:rPr>
              <w:t>1.0</w:t>
            </w:r>
            <w:bookmarkStart w:id="0" w:name="_GoBack"/>
            <w:bookmarkEnd w:id="0"/>
            <w:r>
              <w:rPr>
                <w:rFonts w:hint="eastAsia" w:ascii="宋体" w:hAnsi="宋体" w:eastAsia="宋体" w:cs="宋体"/>
                <w:b/>
                <w:bCs w:val="0"/>
                <w:i w:val="0"/>
                <w:color w:val="000000"/>
                <w:kern w:val="0"/>
                <w:sz w:val="24"/>
                <w:szCs w:val="24"/>
                <w:u w:val="none"/>
                <w:lang w:val="en-US" w:eastAsia="zh-CN" w:bidi="ar"/>
              </w:rPr>
              <w:t xml:space="preserve"> </w:t>
            </w:r>
          </w:p>
        </w:tc>
      </w:tr>
      <w:tr>
        <w:tblPrEx>
          <w:tblBorders>
            <w:top w:val="single" w:color="auto" w:sz="12"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560" w:hRule="atLeast"/>
          <w:jc w:val="center"/>
        </w:trPr>
        <w:tc>
          <w:tcPr>
            <w:tcW w:w="5443"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ind w:firstLine="240" w:firstLineChars="100"/>
              <w:jc w:val="left"/>
              <w:outlineLvl w:val="9"/>
              <w:rPr>
                <w:rFonts w:ascii="宋体" w:hAnsi="宋体" w:cs="宋体"/>
                <w:kern w:val="0"/>
                <w:sz w:val="24"/>
              </w:rPr>
            </w:pPr>
            <w:r>
              <w:rPr>
                <w:rFonts w:hint="eastAsia" w:ascii="宋体" w:hAnsi="宋体" w:cs="宋体"/>
                <w:kern w:val="0"/>
                <w:sz w:val="24"/>
                <w:lang w:eastAsia="zh-CN"/>
              </w:rPr>
              <w:t>其中：</w:t>
            </w:r>
            <w:r>
              <w:rPr>
                <w:rFonts w:hint="eastAsia" w:ascii="宋体" w:hAnsi="宋体" w:cs="宋体"/>
                <w:kern w:val="0"/>
                <w:sz w:val="24"/>
              </w:rPr>
              <w:t>农业产值</w:t>
            </w:r>
          </w:p>
        </w:tc>
        <w:tc>
          <w:tcPr>
            <w:tcW w:w="2844" w:type="dxa"/>
            <w:tcBorders>
              <w:tl2br w:val="nil"/>
              <w:tr2bl w:val="nil"/>
            </w:tcBorders>
            <w:vAlign w:val="center"/>
          </w:tcPr>
          <w:p>
            <w:pPr>
              <w:keepNext w:val="0"/>
              <w:keepLines w:val="0"/>
              <w:widowControl/>
              <w:suppressLineNumbers w:val="0"/>
              <w:jc w:val="right"/>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 xml:space="preserve">77069 </w:t>
            </w:r>
          </w:p>
        </w:tc>
        <w:tc>
          <w:tcPr>
            <w:tcW w:w="2530" w:type="dxa"/>
            <w:tcBorders>
              <w:tl2br w:val="nil"/>
              <w:tr2bl w:val="nil"/>
            </w:tcBorders>
            <w:vAlign w:val="center"/>
          </w:tcPr>
          <w:p>
            <w:pPr>
              <w:keepNext w:val="0"/>
              <w:keepLines w:val="0"/>
              <w:widowControl/>
              <w:suppressLineNumbers w:val="0"/>
              <w:jc w:val="right"/>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 xml:space="preserve">86903 </w:t>
            </w:r>
          </w:p>
        </w:tc>
        <w:tc>
          <w:tcPr>
            <w:tcW w:w="2441" w:type="dxa"/>
            <w:tcBorders>
              <w:tl2br w:val="nil"/>
              <w:tr2bl w:val="nil"/>
            </w:tcBorders>
            <w:vAlign w:val="center"/>
          </w:tcPr>
          <w:p>
            <w:pPr>
              <w:keepNext w:val="0"/>
              <w:keepLines w:val="0"/>
              <w:widowControl/>
              <w:suppressLineNumbers w:val="0"/>
              <w:jc w:val="right"/>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 xml:space="preserve">-11.3 </w:t>
            </w:r>
          </w:p>
        </w:tc>
      </w:tr>
      <w:tr>
        <w:tblPrEx>
          <w:tblBorders>
            <w:top w:val="single" w:color="auto" w:sz="12"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560" w:hRule="atLeast"/>
          <w:jc w:val="center"/>
        </w:trPr>
        <w:tc>
          <w:tcPr>
            <w:tcW w:w="5443"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left"/>
              <w:outlineLvl w:val="9"/>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林业产值</w:t>
            </w:r>
          </w:p>
        </w:tc>
        <w:tc>
          <w:tcPr>
            <w:tcW w:w="2844" w:type="dxa"/>
            <w:tcBorders>
              <w:tl2br w:val="nil"/>
              <w:tr2bl w:val="nil"/>
            </w:tcBorders>
            <w:vAlign w:val="center"/>
          </w:tcPr>
          <w:p>
            <w:pPr>
              <w:keepNext w:val="0"/>
              <w:keepLines w:val="0"/>
              <w:widowControl/>
              <w:suppressLineNumbers w:val="0"/>
              <w:jc w:val="right"/>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 xml:space="preserve">28117 </w:t>
            </w:r>
          </w:p>
        </w:tc>
        <w:tc>
          <w:tcPr>
            <w:tcW w:w="2530" w:type="dxa"/>
            <w:tcBorders>
              <w:tl2br w:val="nil"/>
              <w:tr2bl w:val="nil"/>
            </w:tcBorders>
            <w:vAlign w:val="center"/>
          </w:tcPr>
          <w:p>
            <w:pPr>
              <w:keepNext w:val="0"/>
              <w:keepLines w:val="0"/>
              <w:widowControl/>
              <w:suppressLineNumbers w:val="0"/>
              <w:jc w:val="right"/>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 xml:space="preserve">24107 </w:t>
            </w:r>
          </w:p>
        </w:tc>
        <w:tc>
          <w:tcPr>
            <w:tcW w:w="2441" w:type="dxa"/>
            <w:tcBorders>
              <w:tl2br w:val="nil"/>
              <w:tr2bl w:val="nil"/>
            </w:tcBorders>
            <w:vAlign w:val="center"/>
          </w:tcPr>
          <w:p>
            <w:pPr>
              <w:keepNext w:val="0"/>
              <w:keepLines w:val="0"/>
              <w:widowControl/>
              <w:suppressLineNumbers w:val="0"/>
              <w:jc w:val="right"/>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 xml:space="preserve">16.6 </w:t>
            </w:r>
          </w:p>
        </w:tc>
      </w:tr>
      <w:tr>
        <w:tblPrEx>
          <w:tblBorders>
            <w:top w:val="single" w:color="auto" w:sz="12"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560" w:hRule="atLeast"/>
          <w:jc w:val="center"/>
        </w:trPr>
        <w:tc>
          <w:tcPr>
            <w:tcW w:w="5443"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left"/>
              <w:outlineLvl w:val="9"/>
              <w:rPr>
                <w:rFonts w:hint="eastAsia" w:ascii="宋体" w:hAnsi="宋体" w:cs="宋体"/>
                <w:kern w:val="0"/>
                <w:sz w:val="24"/>
              </w:rPr>
            </w:pPr>
            <w:r>
              <w:rPr>
                <w:rFonts w:hint="eastAsia" w:ascii="宋体" w:hAnsi="宋体" w:cs="宋体"/>
                <w:kern w:val="0"/>
                <w:sz w:val="24"/>
                <w:lang w:val="en-US" w:eastAsia="zh-CN"/>
              </w:rPr>
              <w:t xml:space="preserve">        </w:t>
            </w:r>
            <w:r>
              <w:rPr>
                <w:rFonts w:hint="eastAsia" w:ascii="宋体" w:hAnsi="宋体" w:cs="宋体"/>
                <w:kern w:val="0"/>
                <w:sz w:val="24"/>
              </w:rPr>
              <w:t>牧业产值</w:t>
            </w:r>
          </w:p>
        </w:tc>
        <w:tc>
          <w:tcPr>
            <w:tcW w:w="2844" w:type="dxa"/>
            <w:tcBorders>
              <w:tl2br w:val="nil"/>
              <w:tr2bl w:val="nil"/>
            </w:tcBorders>
            <w:vAlign w:val="center"/>
          </w:tcPr>
          <w:p>
            <w:pPr>
              <w:keepNext w:val="0"/>
              <w:keepLines w:val="0"/>
              <w:widowControl/>
              <w:suppressLineNumbers w:val="0"/>
              <w:jc w:val="right"/>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 xml:space="preserve">39726 </w:t>
            </w:r>
          </w:p>
        </w:tc>
        <w:tc>
          <w:tcPr>
            <w:tcW w:w="2530" w:type="dxa"/>
            <w:tcBorders>
              <w:tl2br w:val="nil"/>
              <w:tr2bl w:val="nil"/>
            </w:tcBorders>
            <w:vAlign w:val="center"/>
          </w:tcPr>
          <w:p>
            <w:pPr>
              <w:keepNext w:val="0"/>
              <w:keepLines w:val="0"/>
              <w:widowControl/>
              <w:suppressLineNumbers w:val="0"/>
              <w:jc w:val="right"/>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 xml:space="preserve">31466 </w:t>
            </w:r>
          </w:p>
        </w:tc>
        <w:tc>
          <w:tcPr>
            <w:tcW w:w="2441" w:type="dxa"/>
            <w:tcBorders>
              <w:tl2br w:val="nil"/>
              <w:tr2bl w:val="nil"/>
            </w:tcBorders>
            <w:vAlign w:val="center"/>
          </w:tcPr>
          <w:p>
            <w:pPr>
              <w:keepNext w:val="0"/>
              <w:keepLines w:val="0"/>
              <w:widowControl/>
              <w:suppressLineNumbers w:val="0"/>
              <w:jc w:val="right"/>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 xml:space="preserve">26.3 </w:t>
            </w:r>
          </w:p>
        </w:tc>
      </w:tr>
      <w:tr>
        <w:tblPrEx>
          <w:tblBorders>
            <w:top w:val="single" w:color="auto" w:sz="12"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560" w:hRule="atLeast"/>
          <w:jc w:val="center"/>
        </w:trPr>
        <w:tc>
          <w:tcPr>
            <w:tcW w:w="5443"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left"/>
              <w:outlineLvl w:val="9"/>
              <w:rPr>
                <w:rFonts w:hint="eastAsia" w:ascii="宋体" w:hAnsi="宋体" w:cs="宋体"/>
                <w:kern w:val="0"/>
                <w:sz w:val="24"/>
              </w:rPr>
            </w:pPr>
            <w:r>
              <w:rPr>
                <w:rFonts w:hint="eastAsia" w:ascii="宋体" w:hAnsi="宋体" w:cs="宋体"/>
                <w:kern w:val="0"/>
                <w:sz w:val="24"/>
                <w:lang w:val="en-US" w:eastAsia="zh-CN"/>
              </w:rPr>
              <w:t xml:space="preserve">        </w:t>
            </w:r>
            <w:r>
              <w:rPr>
                <w:rFonts w:hint="eastAsia" w:ascii="宋体" w:hAnsi="宋体" w:cs="宋体"/>
                <w:kern w:val="0"/>
                <w:sz w:val="24"/>
              </w:rPr>
              <w:t>渔业产值</w:t>
            </w:r>
          </w:p>
        </w:tc>
        <w:tc>
          <w:tcPr>
            <w:tcW w:w="2844" w:type="dxa"/>
            <w:tcBorders>
              <w:tl2br w:val="nil"/>
              <w:tr2bl w:val="nil"/>
            </w:tcBorders>
            <w:vAlign w:val="center"/>
          </w:tcPr>
          <w:p>
            <w:pPr>
              <w:keepNext w:val="0"/>
              <w:keepLines w:val="0"/>
              <w:widowControl/>
              <w:suppressLineNumbers w:val="0"/>
              <w:jc w:val="right"/>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 xml:space="preserve">2000 </w:t>
            </w:r>
          </w:p>
        </w:tc>
        <w:tc>
          <w:tcPr>
            <w:tcW w:w="2530" w:type="dxa"/>
            <w:tcBorders>
              <w:tl2br w:val="nil"/>
              <w:tr2bl w:val="nil"/>
            </w:tcBorders>
            <w:vAlign w:val="center"/>
          </w:tcPr>
          <w:p>
            <w:pPr>
              <w:keepNext w:val="0"/>
              <w:keepLines w:val="0"/>
              <w:widowControl/>
              <w:suppressLineNumbers w:val="0"/>
              <w:jc w:val="right"/>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 xml:space="preserve">2110 </w:t>
            </w:r>
          </w:p>
        </w:tc>
        <w:tc>
          <w:tcPr>
            <w:tcW w:w="2441" w:type="dxa"/>
            <w:tcBorders>
              <w:tl2br w:val="nil"/>
              <w:tr2bl w:val="nil"/>
            </w:tcBorders>
            <w:vAlign w:val="center"/>
          </w:tcPr>
          <w:p>
            <w:pPr>
              <w:keepNext w:val="0"/>
              <w:keepLines w:val="0"/>
              <w:widowControl/>
              <w:suppressLineNumbers w:val="0"/>
              <w:jc w:val="right"/>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 xml:space="preserve">-5.2 </w:t>
            </w:r>
          </w:p>
        </w:tc>
      </w:tr>
      <w:tr>
        <w:tblPrEx>
          <w:tblBorders>
            <w:top w:val="single" w:color="auto" w:sz="12"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1953" w:hRule="exact"/>
          <w:jc w:val="center"/>
        </w:trPr>
        <w:tc>
          <w:tcPr>
            <w:tcW w:w="13258" w:type="dxa"/>
            <w:gridSpan w:val="4"/>
            <w:tcBorders>
              <w:top w:val="single" w:color="auto" w:sz="12" w:space="0"/>
              <w:tl2br w:val="nil"/>
              <w:tr2bl w:val="nil"/>
            </w:tcBorders>
            <w:vAlign w:val="top"/>
          </w:tcPr>
          <w:p>
            <w:pPr>
              <w:keepNext w:val="0"/>
              <w:keepLines w:val="0"/>
              <w:pageBreakBefore w:val="0"/>
              <w:kinsoku/>
              <w:wordWrap/>
              <w:overflowPunct/>
              <w:topLinePunct w:val="0"/>
              <w:autoSpaceDE/>
              <w:autoSpaceDN/>
              <w:bidi w:val="0"/>
              <w:adjustRightInd w:val="0"/>
              <w:snapToGrid w:val="0"/>
              <w:jc w:val="left"/>
              <w:outlineLvl w:val="9"/>
              <w:rPr>
                <w:rFonts w:hint="eastAsia" w:ascii="楷体_GB2312" w:hAnsi="宋体" w:eastAsia="楷体_GB2312" w:cs="宋体"/>
                <w:bCs/>
                <w:sz w:val="24"/>
                <w:szCs w:val="24"/>
              </w:rPr>
            </w:pPr>
            <w:r>
              <w:rPr>
                <w:rFonts w:hint="eastAsia" w:ascii="楷体_GB2312" w:hAnsi="宋体" w:eastAsia="楷体_GB2312" w:cs="宋体"/>
                <w:bCs/>
                <w:sz w:val="24"/>
                <w:szCs w:val="24"/>
              </w:rPr>
              <w:t>注释：</w:t>
            </w:r>
          </w:p>
          <w:p>
            <w:pPr>
              <w:pStyle w:val="5"/>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ind w:left="0" w:right="0"/>
              <w:jc w:val="both"/>
              <w:outlineLvl w:val="9"/>
              <w:rPr>
                <w:rFonts w:hint="eastAsia" w:ascii="楷体_GB2312" w:hAnsi="宋体" w:eastAsia="楷体_GB2312" w:cs="宋体"/>
                <w:sz w:val="21"/>
                <w:szCs w:val="21"/>
              </w:rPr>
            </w:pPr>
            <w:r>
              <w:rPr>
                <w:rFonts w:hint="eastAsia" w:ascii="楷体_GB2312" w:hAnsi="宋体" w:eastAsia="楷体_GB2312" w:cs="宋体"/>
                <w:b/>
                <w:bCs/>
                <w:sz w:val="24"/>
                <w:szCs w:val="24"/>
                <w:lang w:val="en-US" w:eastAsia="zh-CN"/>
              </w:rPr>
              <w:t>1.</w:t>
            </w:r>
            <w:r>
              <w:rPr>
                <w:rFonts w:hint="eastAsia" w:ascii="楷体_GB2312" w:hAnsi="宋体" w:eastAsia="楷体_GB2312" w:cs="宋体"/>
                <w:b/>
                <w:bCs/>
                <w:sz w:val="24"/>
                <w:szCs w:val="24"/>
              </w:rPr>
              <w:t>统计范围</w:t>
            </w:r>
            <w:r>
              <w:rPr>
                <w:rFonts w:hint="eastAsia" w:ascii="楷体_GB2312" w:hAnsi="宋体" w:eastAsia="楷体_GB2312" w:cs="宋体"/>
                <w:sz w:val="24"/>
                <w:szCs w:val="24"/>
              </w:rPr>
              <w:t>：</w:t>
            </w:r>
            <w:r>
              <w:rPr>
                <w:rFonts w:hint="eastAsia" w:ascii="楷体_GB2312" w:hAnsi="宋体" w:eastAsia="楷体_GB2312" w:cs="宋体"/>
                <w:sz w:val="24"/>
                <w:szCs w:val="24"/>
                <w:lang w:eastAsia="zh-CN"/>
              </w:rPr>
              <w:t>辖区内</w:t>
            </w:r>
            <w:r>
              <w:rPr>
                <w:rFonts w:hint="eastAsia" w:ascii="楷体_GB2312" w:hAnsi="宋体" w:eastAsia="楷体_GB2312" w:cs="宋体"/>
                <w:sz w:val="24"/>
                <w:szCs w:val="24"/>
              </w:rPr>
              <w:t>的农林牧渔业生产单位，第二、三产业法人单位中的农林牧渔业生产活动，军委系统的农业生产单位（除军马外），以及为农业生产提供服务的农林牧渔服务业单位和农户。</w:t>
            </w:r>
            <w:r>
              <w:rPr>
                <w:rFonts w:hint="eastAsia" w:ascii="楷体_GB2312" w:hAnsi="宋体" w:eastAsia="楷体_GB2312" w:cs="宋体"/>
                <w:sz w:val="24"/>
                <w:szCs w:val="24"/>
              </w:rPr>
              <w:br w:type="textWrapping"/>
            </w:r>
            <w:r>
              <w:rPr>
                <w:rFonts w:hint="eastAsia" w:ascii="楷体_GB2312" w:hAnsi="宋体" w:eastAsia="楷体_GB2312" w:cs="宋体"/>
                <w:b/>
                <w:sz w:val="24"/>
                <w:szCs w:val="24"/>
              </w:rPr>
              <w:t>2</w:t>
            </w:r>
            <w:r>
              <w:rPr>
                <w:rFonts w:hint="eastAsia" w:ascii="楷体_GB2312" w:hAnsi="宋体" w:eastAsia="楷体_GB2312" w:cs="宋体"/>
                <w:b/>
                <w:sz w:val="24"/>
                <w:szCs w:val="24"/>
                <w:lang w:val="en-US" w:eastAsia="zh-CN"/>
              </w:rPr>
              <w:t>.</w:t>
            </w:r>
            <w:r>
              <w:rPr>
                <w:rFonts w:hint="eastAsia" w:ascii="楷体_GB2312" w:hAnsi="宋体" w:eastAsia="楷体_GB2312" w:cs="宋体"/>
                <w:b/>
                <w:bCs/>
                <w:sz w:val="24"/>
                <w:szCs w:val="24"/>
              </w:rPr>
              <w:t>采集渠道</w:t>
            </w:r>
            <w:r>
              <w:rPr>
                <w:rFonts w:hint="eastAsia" w:ascii="楷体_GB2312" w:hAnsi="宋体" w:eastAsia="楷体_GB2312" w:cs="宋体"/>
                <w:bCs/>
                <w:sz w:val="24"/>
                <w:szCs w:val="24"/>
              </w:rPr>
              <w:t>：</w:t>
            </w:r>
            <w:r>
              <w:rPr>
                <w:rFonts w:hint="eastAsia" w:ascii="楷体_GB2312" w:hAnsi="宋体" w:eastAsia="楷体_GB2312" w:cs="宋体"/>
                <w:sz w:val="24"/>
                <w:szCs w:val="24"/>
              </w:rPr>
              <w:t>按照《郊区统计报表制度》的规定，</w:t>
            </w:r>
            <w:r>
              <w:rPr>
                <w:rFonts w:hint="eastAsia" w:ascii="楷体_GB2312" w:hAnsi="宋体" w:eastAsia="楷体_GB2312" w:cs="宋体"/>
                <w:sz w:val="24"/>
                <w:szCs w:val="24"/>
                <w:highlight w:val="none"/>
              </w:rPr>
              <w:t>由</w:t>
            </w:r>
            <w:r>
              <w:rPr>
                <w:rFonts w:hint="eastAsia" w:ascii="楷体_GB2312" w:hAnsi="宋体" w:eastAsia="楷体_GB2312" w:cs="宋体"/>
                <w:sz w:val="24"/>
                <w:szCs w:val="24"/>
                <w:highlight w:val="none"/>
                <w:lang w:eastAsia="zh-CN"/>
              </w:rPr>
              <w:t>村、</w:t>
            </w:r>
            <w:r>
              <w:rPr>
                <w:rFonts w:hint="eastAsia" w:ascii="楷体_GB2312" w:hAnsi="宋体" w:eastAsia="楷体_GB2312" w:cs="宋体"/>
                <w:sz w:val="24"/>
                <w:szCs w:val="24"/>
                <w:highlight w:val="none"/>
              </w:rPr>
              <w:t>乡镇、区、到市级，</w:t>
            </w:r>
            <w:r>
              <w:rPr>
                <w:rFonts w:hint="eastAsia" w:ascii="楷体_GB2312" w:hAnsi="宋体" w:eastAsia="楷体_GB2312" w:cs="宋体"/>
                <w:sz w:val="24"/>
                <w:szCs w:val="24"/>
              </w:rPr>
              <w:t>逐级</w:t>
            </w:r>
            <w:r>
              <w:rPr>
                <w:rFonts w:hint="eastAsia" w:ascii="楷体_GB2312" w:hAnsi="宋体" w:eastAsia="楷体_GB2312" w:cs="宋体"/>
                <w:sz w:val="24"/>
                <w:szCs w:val="24"/>
                <w:highlight w:val="none"/>
                <w:lang w:eastAsia="zh-CN"/>
              </w:rPr>
              <w:t>汇总</w:t>
            </w:r>
            <w:r>
              <w:rPr>
                <w:rFonts w:hint="eastAsia" w:ascii="楷体_GB2312" w:hAnsi="宋体" w:eastAsia="楷体_GB2312" w:cs="宋体"/>
                <w:sz w:val="24"/>
                <w:szCs w:val="24"/>
                <w:highlight w:val="none"/>
              </w:rPr>
              <w:t>。</w:t>
            </w:r>
            <w:r>
              <w:rPr>
                <w:rFonts w:hint="eastAsia" w:ascii="楷体_GB2312" w:hAnsi="宋体" w:eastAsia="楷体_GB2312" w:cs="宋体"/>
                <w:sz w:val="24"/>
                <w:szCs w:val="24"/>
              </w:rPr>
              <w:br w:type="textWrapping"/>
            </w:r>
            <w:r>
              <w:rPr>
                <w:rFonts w:hint="eastAsia" w:ascii="楷体_GB2312" w:hAnsi="宋体" w:eastAsia="楷体_GB2312" w:cs="宋体"/>
                <w:b/>
                <w:sz w:val="24"/>
                <w:szCs w:val="24"/>
              </w:rPr>
              <w:t>3</w:t>
            </w:r>
            <w:r>
              <w:rPr>
                <w:rFonts w:hint="eastAsia" w:ascii="楷体_GB2312" w:hAnsi="宋体" w:eastAsia="楷体_GB2312" w:cs="宋体"/>
                <w:b/>
                <w:sz w:val="24"/>
                <w:szCs w:val="24"/>
                <w:lang w:val="en-US" w:eastAsia="zh-CN"/>
              </w:rPr>
              <w:t>.</w:t>
            </w:r>
            <w:r>
              <w:rPr>
                <w:rFonts w:hint="eastAsia" w:ascii="楷体_GB2312" w:hAnsi="宋体" w:eastAsia="楷体_GB2312" w:cs="宋体"/>
                <w:b/>
                <w:bCs/>
                <w:sz w:val="24"/>
                <w:szCs w:val="24"/>
              </w:rPr>
              <w:t>主要统计指标解释</w:t>
            </w:r>
            <w:r>
              <w:rPr>
                <w:rFonts w:hint="eastAsia" w:ascii="楷体_GB2312" w:hAnsi="宋体" w:eastAsia="楷体_GB2312" w:cs="宋体"/>
                <w:bCs/>
                <w:sz w:val="24"/>
                <w:szCs w:val="24"/>
              </w:rPr>
              <w:t>：农林牧渔业总产值：是以货币表现的农林牧渔业的全部产品总量和对农林牧渔业生产活动进行的各种支持性服务活动的价值。</w:t>
            </w:r>
          </w:p>
        </w:tc>
      </w:tr>
    </w:tbl>
    <w:p>
      <w:pPr>
        <w:rPr>
          <w:rFonts w:hint="eastAsia"/>
        </w:rPr>
      </w:pPr>
    </w:p>
    <w:p>
      <w:pPr>
        <w:keepNext w:val="0"/>
        <w:keepLines w:val="0"/>
        <w:pageBreakBefore w:val="0"/>
        <w:kinsoku/>
        <w:wordWrap/>
        <w:overflowPunct/>
        <w:topLinePunct w:val="0"/>
        <w:autoSpaceDE/>
        <w:autoSpaceDN/>
        <w:bidi w:val="0"/>
        <w:adjustRightInd w:val="0"/>
        <w:snapToGrid w:val="0"/>
        <w:jc w:val="center"/>
        <w:outlineLvl w:val="9"/>
        <w:rPr>
          <w:rFonts w:hint="eastAsia"/>
          <w:b/>
          <w:color w:val="0000FF"/>
          <w:sz w:val="36"/>
          <w:szCs w:val="36"/>
          <w:lang w:eastAsia="zh-CN"/>
        </w:rPr>
      </w:pPr>
    </w:p>
    <w:p>
      <w:pPr>
        <w:keepNext w:val="0"/>
        <w:keepLines w:val="0"/>
        <w:pageBreakBefore w:val="0"/>
        <w:kinsoku/>
        <w:wordWrap/>
        <w:overflowPunct/>
        <w:topLinePunct w:val="0"/>
        <w:autoSpaceDE/>
        <w:autoSpaceDN/>
        <w:bidi w:val="0"/>
        <w:adjustRightInd w:val="0"/>
        <w:snapToGrid w:val="0"/>
        <w:jc w:val="center"/>
        <w:outlineLvl w:val="9"/>
        <w:rPr>
          <w:rFonts w:hint="default"/>
          <w:b/>
          <w:color w:val="0000FF"/>
          <w:sz w:val="36"/>
          <w:szCs w:val="36"/>
          <w:lang w:val="en" w:eastAsia="zh-CN"/>
        </w:rPr>
      </w:pPr>
    </w:p>
    <w:p>
      <w:pPr>
        <w:keepNext w:val="0"/>
        <w:keepLines w:val="0"/>
        <w:pageBreakBefore w:val="0"/>
        <w:kinsoku/>
        <w:wordWrap/>
        <w:overflowPunct/>
        <w:topLinePunct w:val="0"/>
        <w:autoSpaceDE/>
        <w:autoSpaceDN/>
        <w:bidi w:val="0"/>
        <w:adjustRightInd w:val="0"/>
        <w:snapToGrid w:val="0"/>
        <w:jc w:val="center"/>
        <w:outlineLvl w:val="9"/>
        <w:rPr>
          <w:rFonts w:hint="default"/>
          <w:b/>
          <w:color w:val="0000FF"/>
          <w:sz w:val="36"/>
          <w:szCs w:val="36"/>
          <w:lang w:val="en" w:eastAsia="zh-CN"/>
        </w:rPr>
      </w:pPr>
    </w:p>
    <w:p>
      <w:pPr>
        <w:keepNext w:val="0"/>
        <w:keepLines w:val="0"/>
        <w:pageBreakBefore w:val="0"/>
        <w:kinsoku/>
        <w:wordWrap/>
        <w:overflowPunct/>
        <w:topLinePunct w:val="0"/>
        <w:autoSpaceDE/>
        <w:autoSpaceDN/>
        <w:bidi w:val="0"/>
        <w:adjustRightInd w:val="0"/>
        <w:snapToGrid w:val="0"/>
        <w:jc w:val="center"/>
        <w:outlineLvl w:val="9"/>
        <w:rPr>
          <w:rFonts w:hint="default"/>
          <w:b/>
          <w:color w:val="0000FF"/>
          <w:sz w:val="36"/>
          <w:szCs w:val="36"/>
          <w:lang w:val="en" w:eastAsia="zh-CN"/>
        </w:rPr>
      </w:pPr>
    </w:p>
    <w:p>
      <w:pPr>
        <w:keepNext w:val="0"/>
        <w:keepLines w:val="0"/>
        <w:pageBreakBefore w:val="0"/>
        <w:kinsoku/>
        <w:wordWrap/>
        <w:overflowPunct/>
        <w:topLinePunct w:val="0"/>
        <w:autoSpaceDE/>
        <w:autoSpaceDN/>
        <w:bidi w:val="0"/>
        <w:adjustRightInd w:val="0"/>
        <w:snapToGrid w:val="0"/>
        <w:jc w:val="center"/>
        <w:outlineLvl w:val="9"/>
        <w:rPr>
          <w:rFonts w:hint="eastAsia"/>
          <w:b/>
          <w:color w:val="0000FF"/>
          <w:sz w:val="36"/>
          <w:szCs w:val="36"/>
          <w:lang w:val="en-US" w:eastAsia="zh-CN"/>
        </w:rPr>
      </w:pPr>
    </w:p>
    <w:sectPr>
      <w:headerReference r:id="rId3" w:type="default"/>
      <w:pgSz w:w="16838" w:h="11906" w:orient="landscape"/>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auto"/>
    <w:pitch w:val="default"/>
    <w:sig w:usb0="00000000" w:usb1="00000000" w:usb2="00000000" w:usb3="00000000" w:csb0="00000001" w:csb1="00000000"/>
  </w:font>
  <w:font w:name="微软雅黑">
    <w:panose1 w:val="020B0503020204020204"/>
    <w:charset w:val="86"/>
    <w:family w:val="swiss"/>
    <w:pitch w:val="default"/>
    <w:sig w:usb0="80000287" w:usb1="280F3C52"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45EF1"/>
    <w:rsid w:val="01DE4569"/>
    <w:rsid w:val="01EA0DDF"/>
    <w:rsid w:val="021113C5"/>
    <w:rsid w:val="02302E4F"/>
    <w:rsid w:val="02383BF7"/>
    <w:rsid w:val="04B3291D"/>
    <w:rsid w:val="05144DE3"/>
    <w:rsid w:val="056063CD"/>
    <w:rsid w:val="0638629E"/>
    <w:rsid w:val="065A435E"/>
    <w:rsid w:val="0693162F"/>
    <w:rsid w:val="06BD48AA"/>
    <w:rsid w:val="08A05F2A"/>
    <w:rsid w:val="08FE4A5D"/>
    <w:rsid w:val="09350139"/>
    <w:rsid w:val="0979482C"/>
    <w:rsid w:val="09B712A8"/>
    <w:rsid w:val="0AC36A44"/>
    <w:rsid w:val="0B55531A"/>
    <w:rsid w:val="0B7B2A58"/>
    <w:rsid w:val="0BD8075B"/>
    <w:rsid w:val="0BFA39C5"/>
    <w:rsid w:val="0C683C8D"/>
    <w:rsid w:val="0CA36702"/>
    <w:rsid w:val="0E4220D5"/>
    <w:rsid w:val="0E927B34"/>
    <w:rsid w:val="0EDD0097"/>
    <w:rsid w:val="103E310E"/>
    <w:rsid w:val="118634F1"/>
    <w:rsid w:val="12917D5A"/>
    <w:rsid w:val="13BA65BA"/>
    <w:rsid w:val="13C96186"/>
    <w:rsid w:val="13DB96C9"/>
    <w:rsid w:val="141623DE"/>
    <w:rsid w:val="14172A74"/>
    <w:rsid w:val="14EE5251"/>
    <w:rsid w:val="163459DA"/>
    <w:rsid w:val="169355EC"/>
    <w:rsid w:val="172B5C42"/>
    <w:rsid w:val="176149FE"/>
    <w:rsid w:val="19715261"/>
    <w:rsid w:val="1A21665C"/>
    <w:rsid w:val="1AD30A1E"/>
    <w:rsid w:val="1AD8402B"/>
    <w:rsid w:val="1B0B13DC"/>
    <w:rsid w:val="1B122FB6"/>
    <w:rsid w:val="1BCD0481"/>
    <w:rsid w:val="1C0E5505"/>
    <w:rsid w:val="1C276350"/>
    <w:rsid w:val="1C56369B"/>
    <w:rsid w:val="1CD46D9A"/>
    <w:rsid w:val="1D8D5B77"/>
    <w:rsid w:val="1D98136E"/>
    <w:rsid w:val="1DFB1785"/>
    <w:rsid w:val="1EB84662"/>
    <w:rsid w:val="1FFF4CB5"/>
    <w:rsid w:val="21382369"/>
    <w:rsid w:val="21784A05"/>
    <w:rsid w:val="22DB4243"/>
    <w:rsid w:val="23543D99"/>
    <w:rsid w:val="236F1C12"/>
    <w:rsid w:val="248C2EED"/>
    <w:rsid w:val="256C6363"/>
    <w:rsid w:val="25A15611"/>
    <w:rsid w:val="25E84811"/>
    <w:rsid w:val="26A37460"/>
    <w:rsid w:val="27174A9F"/>
    <w:rsid w:val="285E57AA"/>
    <w:rsid w:val="28DD1ED1"/>
    <w:rsid w:val="29303B10"/>
    <w:rsid w:val="29763C32"/>
    <w:rsid w:val="29AD74D8"/>
    <w:rsid w:val="29FB5780"/>
    <w:rsid w:val="2A94053E"/>
    <w:rsid w:val="2BEF4705"/>
    <w:rsid w:val="2C644628"/>
    <w:rsid w:val="2C6C1E73"/>
    <w:rsid w:val="2D076D14"/>
    <w:rsid w:val="2E29008C"/>
    <w:rsid w:val="2E2B4EE6"/>
    <w:rsid w:val="2E6C7B7D"/>
    <w:rsid w:val="2EC71D67"/>
    <w:rsid w:val="2EFD0F86"/>
    <w:rsid w:val="2F457D92"/>
    <w:rsid w:val="2F5B14A5"/>
    <w:rsid w:val="2F8D73F0"/>
    <w:rsid w:val="2FBDC9F1"/>
    <w:rsid w:val="2FE8560A"/>
    <w:rsid w:val="315F1FAD"/>
    <w:rsid w:val="31767B07"/>
    <w:rsid w:val="32326294"/>
    <w:rsid w:val="32812E6E"/>
    <w:rsid w:val="32A7716C"/>
    <w:rsid w:val="33661F81"/>
    <w:rsid w:val="338177D2"/>
    <w:rsid w:val="33AB4869"/>
    <w:rsid w:val="33EA3D20"/>
    <w:rsid w:val="349C766D"/>
    <w:rsid w:val="34C40933"/>
    <w:rsid w:val="352C3131"/>
    <w:rsid w:val="36381881"/>
    <w:rsid w:val="364D3747"/>
    <w:rsid w:val="368A245A"/>
    <w:rsid w:val="36B82B10"/>
    <w:rsid w:val="36BE5A08"/>
    <w:rsid w:val="37EF20A6"/>
    <w:rsid w:val="38AC4A90"/>
    <w:rsid w:val="39052BE6"/>
    <w:rsid w:val="392A6086"/>
    <w:rsid w:val="393A7BCB"/>
    <w:rsid w:val="39C8393A"/>
    <w:rsid w:val="3ACA405B"/>
    <w:rsid w:val="3AEE30EC"/>
    <w:rsid w:val="3B4C203F"/>
    <w:rsid w:val="3B505972"/>
    <w:rsid w:val="3C094926"/>
    <w:rsid w:val="3CA06950"/>
    <w:rsid w:val="3CD34D5E"/>
    <w:rsid w:val="3DF66AB0"/>
    <w:rsid w:val="3E5544D7"/>
    <w:rsid w:val="3ED06649"/>
    <w:rsid w:val="3EFB9B05"/>
    <w:rsid w:val="3FA684FA"/>
    <w:rsid w:val="3FAB96BE"/>
    <w:rsid w:val="3FBF1369"/>
    <w:rsid w:val="3FDB5DF1"/>
    <w:rsid w:val="3FDED793"/>
    <w:rsid w:val="3FDF4110"/>
    <w:rsid w:val="3FF311AD"/>
    <w:rsid w:val="3FFE10C8"/>
    <w:rsid w:val="401D61C0"/>
    <w:rsid w:val="414B607C"/>
    <w:rsid w:val="41A3549E"/>
    <w:rsid w:val="426042E3"/>
    <w:rsid w:val="42D90AF2"/>
    <w:rsid w:val="440C601A"/>
    <w:rsid w:val="441A04D4"/>
    <w:rsid w:val="46216826"/>
    <w:rsid w:val="46FF42F7"/>
    <w:rsid w:val="475234D8"/>
    <w:rsid w:val="476A13E8"/>
    <w:rsid w:val="47790412"/>
    <w:rsid w:val="47A86E6D"/>
    <w:rsid w:val="47C7E8DF"/>
    <w:rsid w:val="47E027CA"/>
    <w:rsid w:val="47FEAB4D"/>
    <w:rsid w:val="489B5BDB"/>
    <w:rsid w:val="4937785D"/>
    <w:rsid w:val="4AE90A8D"/>
    <w:rsid w:val="4B3D5C27"/>
    <w:rsid w:val="4B4551F2"/>
    <w:rsid w:val="4C2220D4"/>
    <w:rsid w:val="4C6D69D1"/>
    <w:rsid w:val="4CEB2530"/>
    <w:rsid w:val="4D1BC49A"/>
    <w:rsid w:val="4D8016E5"/>
    <w:rsid w:val="4D863A49"/>
    <w:rsid w:val="4D9327C0"/>
    <w:rsid w:val="4DC718E7"/>
    <w:rsid w:val="4DD01001"/>
    <w:rsid w:val="4E665BA6"/>
    <w:rsid w:val="4F024081"/>
    <w:rsid w:val="4F560168"/>
    <w:rsid w:val="4F5746E4"/>
    <w:rsid w:val="4F6D24BE"/>
    <w:rsid w:val="4FF703F7"/>
    <w:rsid w:val="50D8657E"/>
    <w:rsid w:val="51512E17"/>
    <w:rsid w:val="526977BB"/>
    <w:rsid w:val="52FB1BC2"/>
    <w:rsid w:val="53EF48C2"/>
    <w:rsid w:val="53F57A86"/>
    <w:rsid w:val="54895C40"/>
    <w:rsid w:val="54F42AFF"/>
    <w:rsid w:val="55600A1D"/>
    <w:rsid w:val="5567A25D"/>
    <w:rsid w:val="55B05FB6"/>
    <w:rsid w:val="560D74DF"/>
    <w:rsid w:val="567412A4"/>
    <w:rsid w:val="568A0C6F"/>
    <w:rsid w:val="56BB328C"/>
    <w:rsid w:val="57370DD3"/>
    <w:rsid w:val="57605D7D"/>
    <w:rsid w:val="5768DE90"/>
    <w:rsid w:val="57B35CE2"/>
    <w:rsid w:val="58913AC3"/>
    <w:rsid w:val="58E67C05"/>
    <w:rsid w:val="590F83E0"/>
    <w:rsid w:val="593605F0"/>
    <w:rsid w:val="59375F5C"/>
    <w:rsid w:val="59630F03"/>
    <w:rsid w:val="597F8F05"/>
    <w:rsid w:val="5A055849"/>
    <w:rsid w:val="5A271408"/>
    <w:rsid w:val="5B73140F"/>
    <w:rsid w:val="5C9300D0"/>
    <w:rsid w:val="5CB32703"/>
    <w:rsid w:val="5CD35BE5"/>
    <w:rsid w:val="5D0004C6"/>
    <w:rsid w:val="5D4E0726"/>
    <w:rsid w:val="5D8F6061"/>
    <w:rsid w:val="5DFBF734"/>
    <w:rsid w:val="5FBF9E10"/>
    <w:rsid w:val="5FBFBE8E"/>
    <w:rsid w:val="5FC37593"/>
    <w:rsid w:val="5FDF0B1C"/>
    <w:rsid w:val="60FA610A"/>
    <w:rsid w:val="613D007B"/>
    <w:rsid w:val="61C65AFE"/>
    <w:rsid w:val="62578C3C"/>
    <w:rsid w:val="62612361"/>
    <w:rsid w:val="639114E6"/>
    <w:rsid w:val="65797765"/>
    <w:rsid w:val="663F737A"/>
    <w:rsid w:val="675F8F65"/>
    <w:rsid w:val="67927ED5"/>
    <w:rsid w:val="67CB7260"/>
    <w:rsid w:val="67FD4902"/>
    <w:rsid w:val="687C1C1C"/>
    <w:rsid w:val="699E7C2F"/>
    <w:rsid w:val="69BE7033"/>
    <w:rsid w:val="69F16919"/>
    <w:rsid w:val="6A294847"/>
    <w:rsid w:val="6A65276C"/>
    <w:rsid w:val="6AC47901"/>
    <w:rsid w:val="6AFF3DA2"/>
    <w:rsid w:val="6B320384"/>
    <w:rsid w:val="6C02332D"/>
    <w:rsid w:val="6C0F7A99"/>
    <w:rsid w:val="6C257DC9"/>
    <w:rsid w:val="6C4B421F"/>
    <w:rsid w:val="6D5A4B7F"/>
    <w:rsid w:val="6EA39D6C"/>
    <w:rsid w:val="6F9D743A"/>
    <w:rsid w:val="6FBF1FE6"/>
    <w:rsid w:val="6FC7354D"/>
    <w:rsid w:val="6FFEDE62"/>
    <w:rsid w:val="6FFF682D"/>
    <w:rsid w:val="6FFFDF34"/>
    <w:rsid w:val="71080D89"/>
    <w:rsid w:val="7175080B"/>
    <w:rsid w:val="7186F4B4"/>
    <w:rsid w:val="726A1098"/>
    <w:rsid w:val="727AA7EB"/>
    <w:rsid w:val="737B2704"/>
    <w:rsid w:val="73A6F0C8"/>
    <w:rsid w:val="73CC0211"/>
    <w:rsid w:val="73EFABBB"/>
    <w:rsid w:val="741F23A4"/>
    <w:rsid w:val="74501C96"/>
    <w:rsid w:val="75575F6A"/>
    <w:rsid w:val="757EAA3D"/>
    <w:rsid w:val="75DFCC41"/>
    <w:rsid w:val="75E61BEE"/>
    <w:rsid w:val="75EE766E"/>
    <w:rsid w:val="75F745C8"/>
    <w:rsid w:val="7607511D"/>
    <w:rsid w:val="765833C3"/>
    <w:rsid w:val="77166765"/>
    <w:rsid w:val="7720627A"/>
    <w:rsid w:val="778962BC"/>
    <w:rsid w:val="779A77AC"/>
    <w:rsid w:val="77E9D9C2"/>
    <w:rsid w:val="77F30C7B"/>
    <w:rsid w:val="78B553DE"/>
    <w:rsid w:val="78E85C94"/>
    <w:rsid w:val="791B108A"/>
    <w:rsid w:val="797D4315"/>
    <w:rsid w:val="7A100E94"/>
    <w:rsid w:val="7AAF36B2"/>
    <w:rsid w:val="7AC2683B"/>
    <w:rsid w:val="7B423B59"/>
    <w:rsid w:val="7B6FE944"/>
    <w:rsid w:val="7BA3EC91"/>
    <w:rsid w:val="7BE787CF"/>
    <w:rsid w:val="7C58388D"/>
    <w:rsid w:val="7C7A5981"/>
    <w:rsid w:val="7CF5D5DB"/>
    <w:rsid w:val="7D7EC8CD"/>
    <w:rsid w:val="7DFF7F9D"/>
    <w:rsid w:val="7E282AF5"/>
    <w:rsid w:val="7E3D82B6"/>
    <w:rsid w:val="7E7F0693"/>
    <w:rsid w:val="7EBE223A"/>
    <w:rsid w:val="7ED92472"/>
    <w:rsid w:val="7ED99CC2"/>
    <w:rsid w:val="7EDF6EB8"/>
    <w:rsid w:val="7EE580AA"/>
    <w:rsid w:val="7EEF0D62"/>
    <w:rsid w:val="7EFC7213"/>
    <w:rsid w:val="7F1879BC"/>
    <w:rsid w:val="7F3A5975"/>
    <w:rsid w:val="7F5E5D34"/>
    <w:rsid w:val="7FBD355C"/>
    <w:rsid w:val="7FD91605"/>
    <w:rsid w:val="7FFF1899"/>
    <w:rsid w:val="81EB3C3A"/>
    <w:rsid w:val="8CDA845A"/>
    <w:rsid w:val="8ECFFD56"/>
    <w:rsid w:val="8FDD6C5D"/>
    <w:rsid w:val="95CB16DE"/>
    <w:rsid w:val="99B77EE0"/>
    <w:rsid w:val="9E7B6197"/>
    <w:rsid w:val="9FED37BA"/>
    <w:rsid w:val="A1F996D1"/>
    <w:rsid w:val="AB6F98F3"/>
    <w:rsid w:val="B7799B9E"/>
    <w:rsid w:val="B7FF7374"/>
    <w:rsid w:val="BB9F279F"/>
    <w:rsid w:val="BBBEF984"/>
    <w:rsid w:val="BCB190C7"/>
    <w:rsid w:val="BD7F112E"/>
    <w:rsid w:val="BDF6F2E2"/>
    <w:rsid w:val="BE463844"/>
    <w:rsid w:val="BEBE2FB3"/>
    <w:rsid w:val="BF69E885"/>
    <w:rsid w:val="BFB650B6"/>
    <w:rsid w:val="C6FCE371"/>
    <w:rsid w:val="C72F571B"/>
    <w:rsid w:val="C7F7F066"/>
    <w:rsid w:val="CBFF8A60"/>
    <w:rsid w:val="CD3B0D55"/>
    <w:rsid w:val="CDD3AF60"/>
    <w:rsid w:val="D57D44D0"/>
    <w:rsid w:val="D77C3604"/>
    <w:rsid w:val="D7EE2A06"/>
    <w:rsid w:val="DA77DE6A"/>
    <w:rsid w:val="DBB74874"/>
    <w:rsid w:val="DDF6AF67"/>
    <w:rsid w:val="DF67A038"/>
    <w:rsid w:val="DF7BDF92"/>
    <w:rsid w:val="DF8DE048"/>
    <w:rsid w:val="DFAB23FE"/>
    <w:rsid w:val="DFAF1A6C"/>
    <w:rsid w:val="DFB724C3"/>
    <w:rsid w:val="DFBFE4DB"/>
    <w:rsid w:val="DFFCAA03"/>
    <w:rsid w:val="E2FFA600"/>
    <w:rsid w:val="E7DD7C91"/>
    <w:rsid w:val="E7F7B4E4"/>
    <w:rsid w:val="E7FDA2F2"/>
    <w:rsid w:val="EA6790F0"/>
    <w:rsid w:val="EBEF1CA0"/>
    <w:rsid w:val="EBF5BF5A"/>
    <w:rsid w:val="EDFE27A9"/>
    <w:rsid w:val="EE5B9157"/>
    <w:rsid w:val="EE7BA821"/>
    <w:rsid w:val="EEFF3E89"/>
    <w:rsid w:val="EF7D7BB4"/>
    <w:rsid w:val="EF7F12D6"/>
    <w:rsid w:val="EF99AF02"/>
    <w:rsid w:val="F047853D"/>
    <w:rsid w:val="F2ECBDBB"/>
    <w:rsid w:val="F4C7C781"/>
    <w:rsid w:val="F5FF6C02"/>
    <w:rsid w:val="F69F3012"/>
    <w:rsid w:val="F6FE7D1F"/>
    <w:rsid w:val="F77E2CBB"/>
    <w:rsid w:val="F7AB5BD3"/>
    <w:rsid w:val="F7B564CC"/>
    <w:rsid w:val="F7BFE11D"/>
    <w:rsid w:val="F7F25219"/>
    <w:rsid w:val="F7FEBE30"/>
    <w:rsid w:val="FAFF5057"/>
    <w:rsid w:val="FB7704E9"/>
    <w:rsid w:val="FBBD6810"/>
    <w:rsid w:val="FBCD7563"/>
    <w:rsid w:val="FBDF6E2B"/>
    <w:rsid w:val="FBF3580F"/>
    <w:rsid w:val="FBFF326E"/>
    <w:rsid w:val="FD661357"/>
    <w:rsid w:val="FD7FD414"/>
    <w:rsid w:val="FDF3622D"/>
    <w:rsid w:val="FE1BD8BF"/>
    <w:rsid w:val="FE3F8DB9"/>
    <w:rsid w:val="FE77F456"/>
    <w:rsid w:val="FECFFF92"/>
    <w:rsid w:val="FEF39F24"/>
    <w:rsid w:val="FF9FF837"/>
    <w:rsid w:val="FFAD37E5"/>
    <w:rsid w:val="FFBEC56A"/>
    <w:rsid w:val="FFD783A1"/>
    <w:rsid w:val="FFD83BD6"/>
    <w:rsid w:val="FFDB47DB"/>
    <w:rsid w:val="FFDDC2DC"/>
    <w:rsid w:val="FFDF4CDE"/>
    <w:rsid w:val="FFDFD5D3"/>
    <w:rsid w:val="FFE6752D"/>
    <w:rsid w:val="FFFD938C"/>
    <w:rsid w:val="FFFFD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楷体_GB2312"/>
    </w:rPr>
  </w:style>
  <w:style w:type="paragraph" w:styleId="3">
    <w:name w:val="annotation text"/>
    <w:basedOn w:val="1"/>
    <w:link w:val="9"/>
    <w:qFormat/>
    <w:uiPriority w:val="0"/>
    <w:pPr>
      <w:jc w:val="left"/>
    </w:pPr>
    <w:rPr>
      <w:rFonts w:ascii="??" w:hAnsi="??" w:eastAsia="宋体" w:cs="??"/>
      <w:sz w:val="32"/>
      <w:szCs w:val="21"/>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hAnsi="微软雅黑" w:eastAsia="微软雅黑" w:cs="微软雅黑"/>
      <w:kern w:val="0"/>
      <w:sz w:val="24"/>
      <w:lang w:val="en-US" w:eastAsia="zh-CN" w:bidi="ar-SA"/>
    </w:rPr>
  </w:style>
  <w:style w:type="character" w:styleId="8">
    <w:name w:val="Strong"/>
    <w:basedOn w:val="7"/>
    <w:qFormat/>
    <w:uiPriority w:val="0"/>
    <w:rPr>
      <w:b/>
    </w:rPr>
  </w:style>
  <w:style w:type="character" w:customStyle="1" w:styleId="9">
    <w:name w:val="批注文字 Char"/>
    <w:basedOn w:val="7"/>
    <w:link w:val="3"/>
    <w:qFormat/>
    <w:uiPriority w:val="0"/>
    <w:rPr>
      <w:rFonts w:ascii="??" w:hAnsi="??" w:eastAsia="宋体" w:cs="??"/>
      <w:sz w:val="32"/>
      <w:szCs w:val="21"/>
    </w:rPr>
  </w:style>
  <w:style w:type="character" w:customStyle="1" w:styleId="10">
    <w:name w:val="font21"/>
    <w:basedOn w:val="7"/>
    <w:qFormat/>
    <w:uiPriority w:val="0"/>
    <w:rPr>
      <w:rFonts w:hint="eastAsia" w:ascii="宋体" w:hAnsi="宋体" w:eastAsia="宋体" w:cs="宋体"/>
      <w:color w:val="000000"/>
      <w:sz w:val="20"/>
      <w:szCs w:val="20"/>
      <w:u w:val="none"/>
    </w:rPr>
  </w:style>
  <w:style w:type="character" w:customStyle="1" w:styleId="11">
    <w:name w:val="font0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1982</Words>
  <Characters>2544</Characters>
  <Lines>0</Lines>
  <Paragraphs>0</Paragraphs>
  <TotalTime>1</TotalTime>
  <ScaleCrop>false</ScaleCrop>
  <LinksUpToDate>false</LinksUpToDate>
  <CharactersWithSpaces>2655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2020-08-20T17:20:00Z</dcterms:created>
  <dc:creator>NTKO</dc:creator>
  <cp:lastModifiedBy>pcb6</cp:lastModifiedBy>
  <cp:lastPrinted>2026-01-13T02:17:00Z</cp:lastPrinted>
  <dcterms:modified xsi:type="dcterms:W3CDTF">2026-10-26T01:49:17Z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476E3CCB1B2943101D6378694DD9DE21_42</vt:lpwstr>
  </property>
</Properties>
</file>