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90" w:tblpY="296"/>
        <w:tblOverlap w:val="never"/>
        <w:tblW w:w="13446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3"/>
        <w:gridCol w:w="1628"/>
        <w:gridCol w:w="1626"/>
        <w:gridCol w:w="1"/>
        <w:gridCol w:w="1617"/>
        <w:gridCol w:w="1"/>
        <w:gridCol w:w="1613"/>
        <w:gridCol w:w="1"/>
        <w:gridCol w:w="1613"/>
        <w:gridCol w:w="1602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</w:tblPrEx>
        <w:trPr>
          <w:trHeight w:val="487" w:hRule="exact"/>
        </w:trPr>
        <w:tc>
          <w:tcPr>
            <w:tcW w:w="13446" w:type="dxa"/>
            <w:gridSpan w:val="11"/>
            <w:tcBorders>
              <w:bottom w:val="single" w:color="auto" w:sz="1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36"/>
                <w:szCs w:val="36"/>
                <w:highlight w:val="none"/>
                <w:lang w:val="en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36"/>
                <w:szCs w:val="36"/>
                <w:highlight w:val="none"/>
                <w:lang w:val="en" w:eastAsia="zh-CN" w:bidi="ar-SA"/>
              </w:rPr>
              <w:t>年1季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36"/>
                <w:szCs w:val="36"/>
                <w:highlight w:val="none"/>
                <w:lang w:val="en" w:eastAsia="zh-CN" w:bidi="ar-SA"/>
              </w:rPr>
              <w:t>度密云区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居民人均消费支出情况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</w:tblPrEx>
        <w:trPr>
          <w:gridAfter w:val="1"/>
          <w:wAfter w:w="1" w:type="dxa"/>
          <w:trHeight w:val="487" w:hRule="exact"/>
        </w:trPr>
        <w:tc>
          <w:tcPr>
            <w:tcW w:w="3743" w:type="dxa"/>
            <w:vMerge w:val="restart"/>
            <w:tcBorders>
              <w:top w:val="single" w:color="auto" w:sz="1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 标 名 称</w:t>
            </w:r>
          </w:p>
        </w:tc>
        <w:tc>
          <w:tcPr>
            <w:tcW w:w="3254" w:type="dxa"/>
            <w:gridSpan w:val="2"/>
            <w:tcBorders>
              <w:top w:val="single" w:color="auto" w:sz="1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全区居民</w:t>
            </w:r>
          </w:p>
        </w:tc>
        <w:tc>
          <w:tcPr>
            <w:tcW w:w="3232" w:type="dxa"/>
            <w:gridSpan w:val="4"/>
            <w:tcBorders>
              <w:top w:val="single" w:color="auto" w:sz="1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-US" w:eastAsia="zh-CN"/>
              </w:rPr>
              <w:t>城镇居民</w:t>
            </w:r>
          </w:p>
        </w:tc>
        <w:tc>
          <w:tcPr>
            <w:tcW w:w="3216" w:type="dxa"/>
            <w:gridSpan w:val="3"/>
            <w:tcBorders>
              <w:top w:val="single" w:color="auto" w:sz="1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eastAsia="zh-CN"/>
              </w:rPr>
              <w:t>农村居民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</w:tblPrEx>
        <w:trPr>
          <w:trHeight w:val="536" w:hRule="exact"/>
        </w:trPr>
        <w:tc>
          <w:tcPr>
            <w:tcW w:w="3743" w:type="dxa"/>
            <w:vMerge w:val="continue"/>
            <w:tcBorders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9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</w:pPr>
            <w:r>
              <w:rPr>
                <w:rStyle w:val="9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202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-US" w:eastAsia="zh-CN"/>
              </w:rPr>
              <w:t>6</w:t>
            </w:r>
            <w:r>
              <w:rPr>
                <w:rStyle w:val="9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年1季</w:t>
            </w:r>
            <w:r>
              <w:rPr>
                <w:rStyle w:val="9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度</w:t>
            </w:r>
          </w:p>
        </w:tc>
        <w:tc>
          <w:tcPr>
            <w:tcW w:w="1626" w:type="dxa"/>
            <w:tcBorders>
              <w:top w:val="single" w:color="auto" w:sz="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  <w:tc>
          <w:tcPr>
            <w:tcW w:w="1618" w:type="dxa"/>
            <w:gridSpan w:val="2"/>
            <w:tcBorders>
              <w:top w:val="single" w:color="auto" w:sz="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202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Style w:val="9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年1季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度</w:t>
            </w:r>
          </w:p>
        </w:tc>
        <w:tc>
          <w:tcPr>
            <w:tcW w:w="1614" w:type="dxa"/>
            <w:gridSpan w:val="2"/>
            <w:tcBorders>
              <w:top w:val="single" w:color="auto" w:sz="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eastAsia="zh-CN"/>
              </w:rPr>
              <w:t>同比增长（%）</w:t>
            </w:r>
          </w:p>
        </w:tc>
        <w:tc>
          <w:tcPr>
            <w:tcW w:w="1614" w:type="dxa"/>
            <w:gridSpan w:val="2"/>
            <w:tcBorders>
              <w:top w:val="single" w:color="auto" w:sz="2" w:space="0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202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Style w:val="9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年1季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val="en" w:eastAsia="zh-CN"/>
              </w:rPr>
              <w:t>度</w:t>
            </w:r>
          </w:p>
        </w:tc>
        <w:tc>
          <w:tcPr>
            <w:tcW w:w="1602" w:type="dxa"/>
            <w:tcBorders>
              <w:top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leftChars="0" w:right="0" w:rightChars="0"/>
              <w:jc w:val="center"/>
              <w:outlineLvl w:val="9"/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highlight w:val="none"/>
                <w:lang w:eastAsia="zh-CN"/>
              </w:rPr>
              <w:t>同比增长（%）</w:t>
            </w:r>
          </w:p>
        </w:tc>
        <w:tc>
          <w:tcPr>
            <w:tcW w:w="1" w:type="dxa"/>
            <w:tcBorders>
              <w:top w:val="single" w:color="auto" w:sz="2" w:space="0"/>
              <w:left w:val="nil"/>
              <w:bottom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</w:tblPrEx>
        <w:trPr>
          <w:trHeight w:val="413" w:hRule="exact"/>
        </w:trPr>
        <w:tc>
          <w:tcPr>
            <w:tcW w:w="3743" w:type="dxa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人均消费支出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28" w:type="dxa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7639 </w:t>
            </w:r>
          </w:p>
        </w:tc>
        <w:tc>
          <w:tcPr>
            <w:tcW w:w="1627" w:type="dxa"/>
            <w:gridSpan w:val="2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-0.9 </w:t>
            </w:r>
          </w:p>
        </w:tc>
        <w:tc>
          <w:tcPr>
            <w:tcW w:w="1618" w:type="dxa"/>
            <w:gridSpan w:val="2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-2.5 </w:t>
            </w:r>
          </w:p>
        </w:tc>
        <w:tc>
          <w:tcPr>
            <w:tcW w:w="1613" w:type="dxa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5758</w:t>
            </w:r>
          </w:p>
        </w:tc>
        <w:tc>
          <w:tcPr>
            <w:tcW w:w="1603" w:type="dxa"/>
            <w:gridSpan w:val="2"/>
            <w:tcBorders>
              <w:top w:val="single" w:color="auto" w:sz="2" w:space="0"/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食品烟酒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2276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2570 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衣着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-1.4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-3.5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2344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-2.7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生活用品及服务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交通和通信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-14.9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1015 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-18.9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教育文化娱乐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医疗保健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 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-8.8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 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-16.9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74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其他用品及服务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-10.3 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-6.9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注释：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 w:bidi="ar-SA"/>
        </w:rPr>
        <w:t>1.</w:t>
      </w:r>
      <w:r>
        <w:rPr>
          <w:rFonts w:hint="default" w:ascii="楷体_GB2312" w:hAnsi="宋体" w:eastAsia="楷体_GB2312" w:cs="宋体"/>
          <w:b/>
          <w:kern w:val="0"/>
          <w:sz w:val="24"/>
          <w:szCs w:val="24"/>
          <w:lang w:val="en" w:eastAsia="zh-CN" w:bidi="ar-SA"/>
        </w:rPr>
        <w:t>统计范围：</w:t>
      </w: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住户调查对象为中华人民共和国境内的住户，既包括城镇住户，也包括农村住户；既包括以家庭形式居住的户，也包括以集体形式居住的户。调查对象按照常住地确定，既包括户口在本地的住户，也包括户口在外地、但在本地居住一定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间（通常为半年）以上的住户。城镇范围为《统计上划分城乡的规定》中被界定为“城镇”的区域，农村范围为《统计上划分城乡的规定》中被界定为“乡村”的区域。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2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.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采集渠道：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住户调查采用日记账和问卷调查相结合的方式采集基础数据。其中，居民现金收入与支出、实物收入与支出等内容主要使用记账方式采集。住户成员及劳动力从业情况、住房和耐用品拥有量情况、家庭经营和生产投资情况、社区基本情况及其他民生状况等资料使用问卷调查方式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  <w:shd w:val="clear" w:color="auto" w:fill="auto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主要统计指标解释：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消费支出：指住户用于满足家庭日常生活消费需要的全部支出，包括用于消费品的支出和用于服务性消费的支出。根据用途不同，消费支出可划分为食品烟酒、衣着、居住、生活用品及服务、交通通信、教育文化娱乐、医疗保健、其他用品及服务八大类。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  <w:shd w:val="clear" w:color="auto" w:fill="auto"/>
        </w:rPr>
        <w:t>食品烟酒：指用于各种食品和烟草、酒类的支出。衣着：指与居民穿着有关的支出，包括服装、服装材料、鞋类、其他衣类及配件、衣着相关加工服务的支出。居住：指与居住相关的支出，包括房租、水、电、燃料、物业管理等方面的支出，也包括自有住房折算租金。生活用品及服务：指家庭及个人的各类生活品及家庭服务。包括家具及室内装饰品、家用器具、家用纺织品、家庭日用杂品、个人用品和家庭服务。交通通信：指用于交通和通信工具及相关的各种服务费、维修费和车辆保险等支出。教育文化娱乐：指用于教育和文化娱乐方面的支出。医疗保健：指用于医疗和保健的药品、用品和服务的总费用。包括医疗器具及药品，以及医疗服务。其他用品及服务：指无法直接归入上述各类支出的其他用品和服务支出。</w:t>
      </w: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24"/>
          <w:szCs w:val="24"/>
          <w:shd w:val="clear" w:color="auto" w:fill="auto"/>
          <w:lang w:val="en-US" w:eastAsia="zh-CN"/>
        </w:rPr>
        <w:t>4.数据来源：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4"/>
          <w:szCs w:val="24"/>
          <w:shd w:val="clear" w:color="auto" w:fill="auto"/>
          <w:lang w:val="en-US" w:eastAsia="zh-CN"/>
        </w:rPr>
        <w:t>国家统计局密云调查队。</w:t>
      </w: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0E60DDE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332A8D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4F7642E"/>
    <w:rsid w:val="163459DA"/>
    <w:rsid w:val="169355EC"/>
    <w:rsid w:val="169D32DA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CAC1CFC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831CFB"/>
    <w:rsid w:val="41A3549E"/>
    <w:rsid w:val="426042E3"/>
    <w:rsid w:val="42D90AF2"/>
    <w:rsid w:val="440C601A"/>
    <w:rsid w:val="441A04D4"/>
    <w:rsid w:val="45303EA9"/>
    <w:rsid w:val="46216826"/>
    <w:rsid w:val="46FF42F7"/>
    <w:rsid w:val="475234D8"/>
    <w:rsid w:val="476A13E8"/>
    <w:rsid w:val="47790412"/>
    <w:rsid w:val="47A86E6D"/>
    <w:rsid w:val="47E027CA"/>
    <w:rsid w:val="47FEAB4D"/>
    <w:rsid w:val="482B7FAE"/>
    <w:rsid w:val="489B5BDB"/>
    <w:rsid w:val="4937785D"/>
    <w:rsid w:val="49BE60A4"/>
    <w:rsid w:val="4AE90A8D"/>
    <w:rsid w:val="4B3D5C27"/>
    <w:rsid w:val="4B4551F2"/>
    <w:rsid w:val="4B69684E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C16E48"/>
    <w:rsid w:val="4FF703F7"/>
    <w:rsid w:val="50D8657E"/>
    <w:rsid w:val="51512E17"/>
    <w:rsid w:val="526977BB"/>
    <w:rsid w:val="52FB1BC2"/>
    <w:rsid w:val="53771F8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BB03DB"/>
    <w:rsid w:val="5DFBF734"/>
    <w:rsid w:val="5E77F9EF"/>
    <w:rsid w:val="5EAB0742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2DA1EB8"/>
    <w:rsid w:val="639114E6"/>
    <w:rsid w:val="65683EA1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416649"/>
    <w:rsid w:val="765833C3"/>
    <w:rsid w:val="77166765"/>
    <w:rsid w:val="7720627A"/>
    <w:rsid w:val="778962BC"/>
    <w:rsid w:val="779A0842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A47C9F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DFF416"/>
    <w:rsid w:val="7EE580AA"/>
    <w:rsid w:val="7EEF0D62"/>
    <w:rsid w:val="7EFC7213"/>
    <w:rsid w:val="7F1879BC"/>
    <w:rsid w:val="7F3A5975"/>
    <w:rsid w:val="7F5E5D34"/>
    <w:rsid w:val="7F7FD02C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E48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A03BC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6BF259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/>
    </w:rPr>
  </w:style>
  <w:style w:type="paragraph" w:customStyle="1" w:styleId="3">
    <w:name w:val="索引 8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sa-IN"/>
    </w:rPr>
  </w:style>
  <w:style w:type="paragraph" w:styleId="4">
    <w:name w:val="annotation text"/>
    <w:basedOn w:val="1"/>
    <w:link w:val="10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2020-08-21T01:20:00Z</dcterms:created>
  <dc:creator>NTKO</dc:creator>
  <cp:lastModifiedBy>uos</cp:lastModifiedBy>
  <cp:lastPrinted>2026-04-28T11:58:00Z</cp:lastPrinted>
  <dcterms:modified xsi:type="dcterms:W3CDTF">2026-04-28T16:55:09Z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3096BBF5564207CDFA7770691B15B47A</vt:lpwstr>
  </property>
</Properties>
</file>