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b/>
          <w:color w:val="0000FF"/>
          <w:sz w:val="36"/>
          <w:szCs w:val="36"/>
          <w:highlight w:val="none"/>
        </w:rPr>
      </w:pPr>
      <w:bookmarkStart w:id="0" w:name="_GoBack"/>
      <w:r>
        <w:rPr>
          <w:rFonts w:hint="default"/>
          <w:b/>
          <w:color w:val="0000FF"/>
          <w:sz w:val="36"/>
          <w:szCs w:val="36"/>
          <w:highlight w:val="none"/>
          <w:lang w:val="en" w:eastAsia="zh-CN"/>
        </w:rPr>
        <w:t>2025年</w:t>
      </w:r>
      <w:r>
        <w:rPr>
          <w:rFonts w:hint="eastAsia"/>
          <w:b/>
          <w:color w:val="0000FF"/>
          <w:sz w:val="36"/>
          <w:szCs w:val="36"/>
          <w:highlight w:val="none"/>
          <w:lang w:val="en" w:eastAsia="zh-CN"/>
        </w:rPr>
        <w:t>1-8月</w:t>
      </w:r>
      <w:r>
        <w:rPr>
          <w:rFonts w:hint="eastAsia"/>
          <w:b/>
          <w:color w:val="0000FF"/>
          <w:sz w:val="36"/>
          <w:szCs w:val="36"/>
          <w:lang w:val="en" w:eastAsia="zh-CN"/>
        </w:rPr>
        <w:t>密云区</w:t>
      </w:r>
      <w:r>
        <w:rPr>
          <w:rFonts w:hint="eastAsia"/>
          <w:b/>
          <w:color w:val="0000FF"/>
          <w:sz w:val="36"/>
          <w:szCs w:val="36"/>
          <w:highlight w:val="none"/>
        </w:rPr>
        <w:t>规模以上工业生产、销售情况</w:t>
      </w:r>
    </w:p>
    <w:bookmarkEnd w:id="0"/>
    <w:tbl>
      <w:tblPr>
        <w:tblStyle w:val="6"/>
        <w:tblW w:w="11916" w:type="dxa"/>
        <w:jc w:val="center"/>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
      <w:tblGrid>
        <w:gridCol w:w="5748"/>
        <w:gridCol w:w="1469"/>
        <w:gridCol w:w="1417"/>
        <w:gridCol w:w="1833"/>
        <w:gridCol w:w="1449"/>
      </w:tblGrid>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5748" w:type="dxa"/>
            <w:vMerge w:val="restart"/>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行    业</w:t>
            </w:r>
          </w:p>
        </w:tc>
        <w:tc>
          <w:tcPr>
            <w:tcW w:w="2886" w:type="dxa"/>
            <w:gridSpan w:val="2"/>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工业总产值</w:t>
            </w:r>
          </w:p>
        </w:tc>
        <w:tc>
          <w:tcPr>
            <w:tcW w:w="3282" w:type="dxa"/>
            <w:gridSpan w:val="2"/>
            <w:tcBorders>
              <w:left w:val="single" w:color="000000"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工业销售产值</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667" w:hRule="atLeast"/>
          <w:jc w:val="center"/>
        </w:trPr>
        <w:tc>
          <w:tcPr>
            <w:tcW w:w="5748" w:type="dxa"/>
            <w:vMerge w:val="continue"/>
            <w:tcBorders>
              <w:top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cs="宋体"/>
                <w:color w:val="000000"/>
                <w:sz w:val="24"/>
              </w:rPr>
            </w:pPr>
          </w:p>
        </w:tc>
        <w:tc>
          <w:tcPr>
            <w:tcW w:w="1469" w:type="dxa"/>
            <w:tcBorders>
              <w:top w:val="single" w:color="000000" w:sz="4" w:space="0"/>
              <w:left w:val="single" w:color="000000" w:sz="4" w:space="0"/>
              <w:bottom w:val="single" w:color="000000" w:sz="4" w:space="0"/>
              <w:right w:val="dotted"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default" w:ascii="宋体" w:hAnsi="宋体" w:cs="宋体"/>
                <w:kern w:val="0"/>
                <w:sz w:val="24"/>
                <w:lang w:val="en" w:eastAsia="zh-CN"/>
              </w:rPr>
              <w:t>2025年</w:t>
            </w:r>
            <w:r>
              <w:rPr>
                <w:rFonts w:hint="eastAsia" w:ascii="宋体" w:hAnsi="宋体" w:cs="宋体"/>
                <w:kern w:val="0"/>
                <w:sz w:val="24"/>
                <w:lang w:val="en" w:eastAsia="zh-CN"/>
              </w:rPr>
              <w:t>1-8月</w:t>
            </w:r>
            <w:r>
              <w:rPr>
                <w:rFonts w:hint="eastAsia" w:ascii="宋体" w:hAnsi="宋体" w:cs="宋体"/>
                <w:kern w:val="0"/>
                <w:sz w:val="24"/>
                <w:lang w:eastAsia="zh-CN"/>
              </w:rPr>
              <w:br w:type="textWrapping"/>
            </w:r>
            <w:r>
              <w:rPr>
                <w:rFonts w:hint="eastAsia" w:ascii="宋体" w:hAnsi="宋体" w:cs="宋体"/>
                <w:color w:val="000000"/>
                <w:kern w:val="0"/>
                <w:sz w:val="24"/>
              </w:rPr>
              <w:t>（万元）</w:t>
            </w:r>
          </w:p>
        </w:tc>
        <w:tc>
          <w:tcPr>
            <w:tcW w:w="1417" w:type="dxa"/>
            <w:tcBorders>
              <w:top w:val="single" w:color="000000" w:sz="4" w:space="0"/>
              <w:left w:val="dotted"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rPr>
              <w:t>（%）</w:t>
            </w:r>
          </w:p>
        </w:tc>
        <w:tc>
          <w:tcPr>
            <w:tcW w:w="1833" w:type="dxa"/>
            <w:tcBorders>
              <w:top w:val="single" w:color="000000" w:sz="4" w:space="0"/>
              <w:left w:val="single" w:color="000000" w:sz="4" w:space="0"/>
              <w:bottom w:val="single" w:color="000000" w:sz="4" w:space="0"/>
              <w:right w:val="dotted"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default" w:ascii="宋体" w:hAnsi="宋体" w:cs="宋体"/>
                <w:kern w:val="0"/>
                <w:sz w:val="24"/>
                <w:lang w:val="en" w:eastAsia="zh-CN"/>
              </w:rPr>
              <w:t>2025年</w:t>
            </w:r>
            <w:r>
              <w:rPr>
                <w:rFonts w:hint="eastAsia" w:ascii="宋体" w:hAnsi="宋体" w:cs="宋体"/>
                <w:kern w:val="0"/>
                <w:sz w:val="24"/>
                <w:lang w:val="en" w:eastAsia="zh-CN"/>
              </w:rPr>
              <w:t>1-8月</w:t>
            </w:r>
            <w:r>
              <w:rPr>
                <w:rFonts w:hint="eastAsia" w:ascii="宋体" w:hAnsi="宋体" w:cs="宋体"/>
                <w:color w:val="000000"/>
                <w:kern w:val="0"/>
                <w:sz w:val="24"/>
              </w:rPr>
              <w:br w:type="textWrapping"/>
            </w:r>
            <w:r>
              <w:rPr>
                <w:rFonts w:hint="eastAsia" w:ascii="宋体" w:hAnsi="宋体" w:cs="宋体"/>
                <w:color w:val="000000"/>
                <w:kern w:val="0"/>
                <w:sz w:val="24"/>
              </w:rPr>
              <w:t>（万元）</w:t>
            </w:r>
          </w:p>
        </w:tc>
        <w:tc>
          <w:tcPr>
            <w:tcW w:w="1449" w:type="dxa"/>
            <w:tcBorders>
              <w:top w:val="single" w:color="000000" w:sz="4" w:space="0"/>
              <w:left w:val="dotted" w:color="auto"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rPr>
              <w:t>（%）</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top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cs="宋体"/>
                <w:b/>
                <w:color w:val="000000"/>
                <w:sz w:val="24"/>
                <w:szCs w:val="24"/>
              </w:rPr>
            </w:pPr>
            <w:r>
              <w:rPr>
                <w:rFonts w:hint="eastAsia" w:ascii="宋体" w:hAnsi="宋体" w:eastAsia="宋体" w:cs="宋体"/>
                <w:b/>
                <w:i w:val="0"/>
                <w:color w:val="000000"/>
                <w:kern w:val="0"/>
                <w:sz w:val="24"/>
                <w:szCs w:val="24"/>
                <w:u w:val="none"/>
                <w:lang w:val="en-US" w:eastAsia="zh-CN" w:bidi="ar"/>
              </w:rPr>
              <w:t>全区合计</w:t>
            </w:r>
          </w:p>
        </w:tc>
        <w:tc>
          <w:tcPr>
            <w:tcW w:w="1469" w:type="dxa"/>
            <w:tcBorders>
              <w:top w:val="single" w:color="000000" w:sz="4" w:space="0"/>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1726615 </w:t>
            </w:r>
          </w:p>
        </w:tc>
        <w:tc>
          <w:tcPr>
            <w:tcW w:w="1417" w:type="dxa"/>
            <w:tcBorders>
              <w:top w:val="single" w:color="000000" w:sz="4" w:space="0"/>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22.7</w:t>
            </w:r>
          </w:p>
        </w:tc>
        <w:tc>
          <w:tcPr>
            <w:tcW w:w="1833" w:type="dxa"/>
            <w:tcBorders>
              <w:top w:val="single" w:color="000000" w:sz="4" w:space="0"/>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1704217 </w:t>
            </w:r>
          </w:p>
        </w:tc>
        <w:tc>
          <w:tcPr>
            <w:tcW w:w="1449" w:type="dxa"/>
            <w:tcBorders>
              <w:top w:val="single" w:color="000000" w:sz="4" w:space="0"/>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24.9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其中：农副食品加工业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8765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-15.8</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8676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0.1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食品制造业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7145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-20.0 </w:t>
            </w:r>
          </w:p>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7219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-20.5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400"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酒、饮料和精制茶制造业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215061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-17.4</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209667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-14.0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纺织服装、服饰业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15270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-25.8</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14554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-28.7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印刷和记录媒介复制业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10125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-75.2</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19392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-53.3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化学原料和化学制品制造业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5636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-39.3</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5536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-45.2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医药制造业 </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286368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11.3</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272174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7.1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宋体" w:hAnsi="宋体" w:eastAsia="宋体" w:cs="宋体"/>
                <w:i w:val="0"/>
                <w:color w:val="000000"/>
                <w:kern w:val="0"/>
                <w:sz w:val="24"/>
                <w:szCs w:val="24"/>
                <w:u w:val="none"/>
                <w:lang w:val="en" w:eastAsia="zh-CN" w:bidi="ar"/>
              </w:rPr>
            </w:pPr>
            <w:r>
              <w:rPr>
                <w:rFonts w:hint="default" w:ascii="宋体" w:hAnsi="宋体" w:cs="宋体"/>
                <w:i w:val="0"/>
                <w:color w:val="000000"/>
                <w:kern w:val="0"/>
                <w:sz w:val="24"/>
                <w:szCs w:val="24"/>
                <w:u w:val="none"/>
                <w:lang w:val="en" w:eastAsia="zh-CN" w:bidi="ar"/>
              </w:rPr>
              <w:t xml:space="preserve">        橡胶和塑料制品业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11060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10005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-5.0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非金属矿物制品业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26641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-17.7</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26986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-23.6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金属制品业 </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22639 </w:t>
            </w:r>
          </w:p>
        </w:tc>
        <w:tc>
          <w:tcPr>
            <w:tcW w:w="1417" w:type="dxa"/>
            <w:tcBorders>
              <w:top w:val="nil"/>
              <w:left w:val="dotted" w:color="000000" w:sz="4" w:space="0"/>
              <w:bottom w:val="nil"/>
              <w:right w:val="single" w:color="000000"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-23.6</w:t>
            </w:r>
          </w:p>
        </w:tc>
        <w:tc>
          <w:tcPr>
            <w:tcW w:w="1833" w:type="dxa"/>
            <w:tcBorders>
              <w:top w:val="nil"/>
              <w:left w:val="single" w:color="000000" w:sz="2"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24521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-20.0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通用设备制造业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72650 </w:t>
            </w:r>
          </w:p>
        </w:tc>
        <w:tc>
          <w:tcPr>
            <w:tcW w:w="1417"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-20.7</w:t>
            </w:r>
          </w:p>
        </w:tc>
        <w:tc>
          <w:tcPr>
            <w:tcW w:w="1833"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83747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-6.1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专用设备制造业 </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106209 </w:t>
            </w:r>
          </w:p>
        </w:tc>
        <w:tc>
          <w:tcPr>
            <w:tcW w:w="1417"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w:t>
            </w:r>
          </w:p>
        </w:tc>
        <w:tc>
          <w:tcPr>
            <w:tcW w:w="1833"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101662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2.2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tabs>
                <w:tab w:val="left" w:pos="2013"/>
              </w:tabs>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汽车制造业</w:t>
            </w:r>
            <w:r>
              <w:rPr>
                <w:rFonts w:hint="eastAsia" w:ascii="宋体" w:hAnsi="宋体" w:cs="宋体"/>
                <w:i w:val="0"/>
                <w:color w:val="000000"/>
                <w:kern w:val="0"/>
                <w:sz w:val="24"/>
                <w:szCs w:val="24"/>
                <w:u w:val="none"/>
                <w:lang w:val="en-US" w:eastAsia="zh-CN" w:bidi="ar"/>
              </w:rPr>
              <w:tab/>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708812 </w:t>
            </w:r>
          </w:p>
        </w:tc>
        <w:tc>
          <w:tcPr>
            <w:tcW w:w="1417"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140.9</w:t>
            </w:r>
          </w:p>
        </w:tc>
        <w:tc>
          <w:tcPr>
            <w:tcW w:w="1833"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708686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148.5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宋体" w:hAnsi="宋体" w:eastAsia="宋体" w:cs="宋体"/>
                <w:i w:val="0"/>
                <w:color w:val="000000"/>
                <w:kern w:val="0"/>
                <w:sz w:val="24"/>
                <w:szCs w:val="24"/>
                <w:u w:val="none"/>
                <w:lang w:val="en" w:eastAsia="zh-CN" w:bidi="ar"/>
              </w:rPr>
            </w:pPr>
            <w:r>
              <w:rPr>
                <w:rFonts w:hint="default" w:ascii="宋体" w:hAnsi="宋体" w:cs="宋体"/>
                <w:i w:val="0"/>
                <w:color w:val="000000"/>
                <w:kern w:val="0"/>
                <w:sz w:val="24"/>
                <w:szCs w:val="24"/>
                <w:u w:val="none"/>
                <w:lang w:val="en" w:eastAsia="zh-CN" w:bidi="ar"/>
              </w:rPr>
              <w:t xml:space="preserve">        铁路、船舶、航空航天和其他运输设备制造业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29567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16.7</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30452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18.4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电气机械和器材制造业 </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107843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-4.9</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97645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-5.0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电力、热力生产和供应业</w:t>
            </w:r>
          </w:p>
        </w:tc>
        <w:tc>
          <w:tcPr>
            <w:tcW w:w="1469" w:type="dxa"/>
            <w:tcBorders>
              <w:top w:val="nil"/>
              <w:left w:val="single" w:color="000000" w:sz="4" w:space="0"/>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33987 </w:t>
            </w:r>
          </w:p>
        </w:tc>
        <w:tc>
          <w:tcPr>
            <w:tcW w:w="1417" w:type="dxa"/>
            <w:tcBorders>
              <w:left w:val="dotted"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-0.6</w:t>
            </w:r>
          </w:p>
        </w:tc>
        <w:tc>
          <w:tcPr>
            <w:tcW w:w="1833" w:type="dxa"/>
            <w:tcBorders>
              <w:top w:val="nil"/>
              <w:left w:val="single" w:color="000000" w:sz="4" w:space="0"/>
              <w:bottom w:val="single" w:color="000000" w:sz="12" w:space="0"/>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23498 </w:t>
            </w:r>
          </w:p>
        </w:tc>
        <w:tc>
          <w:tcPr>
            <w:tcW w:w="1449" w:type="dxa"/>
            <w:tcBorders>
              <w:top w:val="nil"/>
              <w:left w:val="dotted" w:color="auto" w:sz="4" w:space="0"/>
              <w:bottom w:val="single" w:color="000000" w:sz="12"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-31.1 </w:t>
            </w:r>
          </w:p>
        </w:tc>
      </w:tr>
    </w:tbl>
    <w:tbl>
      <w:tblPr>
        <w:tblStyle w:val="6"/>
        <w:tblpPr w:leftFromText="180" w:rightFromText="180" w:vertAnchor="text" w:horzAnchor="page" w:tblpX="2604" w:tblpY="78"/>
        <w:tblOverlap w:val="never"/>
        <w:tblW w:w="11860" w:type="dxa"/>
        <w:tblInd w:w="0" w:type="dxa"/>
        <w:tblLayout w:type="fixed"/>
        <w:tblCellMar>
          <w:top w:w="0" w:type="dxa"/>
          <w:left w:w="108" w:type="dxa"/>
          <w:bottom w:w="0" w:type="dxa"/>
          <w:right w:w="108" w:type="dxa"/>
        </w:tblCellMar>
      </w:tblPr>
      <w:tblGrid>
        <w:gridCol w:w="11860"/>
      </w:tblGrid>
      <w:tr>
        <w:tblPrEx>
          <w:tblCellMar>
            <w:top w:w="0" w:type="dxa"/>
            <w:left w:w="108" w:type="dxa"/>
            <w:bottom w:w="0" w:type="dxa"/>
            <w:right w:w="108" w:type="dxa"/>
          </w:tblCellMar>
        </w:tblPrEx>
        <w:trPr>
          <w:trHeight w:val="3095" w:hRule="atLeast"/>
        </w:trPr>
        <w:tc>
          <w:tcPr>
            <w:tcW w:w="11860" w:type="dxa"/>
            <w:tcBorders>
              <w:top w:val="nil"/>
              <w:left w:val="nil"/>
              <w:bottom w:val="nil"/>
              <w:right w:val="nil"/>
            </w:tcBorders>
            <w:vAlign w:val="center"/>
          </w:tcPr>
          <w:p>
            <w:pPr>
              <w:keepNext w:val="0"/>
              <w:keepLines w:val="0"/>
              <w:pageBreakBefore w:val="0"/>
              <w:kinsoku/>
              <w:wordWrap/>
              <w:overflowPunct/>
              <w:topLinePunct w:val="0"/>
              <w:autoSpaceDE/>
              <w:autoSpaceDN/>
              <w:bidi w:val="0"/>
              <w:adjustRightInd w:val="0"/>
              <w:snapToGrid w:val="0"/>
              <w:ind w:leftChars="200"/>
              <w:jc w:val="left"/>
              <w:rPr>
                <w:rFonts w:hint="eastAsia" w:ascii="楷体_GB2312" w:hAnsi="宋体" w:eastAsia="楷体_GB2312" w:cs="宋体"/>
                <w:sz w:val="24"/>
              </w:rPr>
            </w:pPr>
            <w:r>
              <w:rPr>
                <w:rFonts w:hint="eastAsia" w:ascii="楷体_GB2312" w:hAnsi="宋体" w:eastAsia="楷体_GB2312" w:cs="宋体"/>
                <w:sz w:val="24"/>
              </w:rPr>
              <w:t>注释：</w:t>
            </w:r>
          </w:p>
          <w:p>
            <w:pPr>
              <w:keepNext w:val="0"/>
              <w:keepLines w:val="0"/>
              <w:pageBreakBefore w:val="0"/>
              <w:kinsoku/>
              <w:wordWrap/>
              <w:overflowPunct/>
              <w:topLinePunct w:val="0"/>
              <w:autoSpaceDE/>
              <w:autoSpaceDN/>
              <w:bidi w:val="0"/>
              <w:adjustRightInd w:val="0"/>
              <w:snapToGrid w:val="0"/>
              <w:ind w:leftChars="200"/>
              <w:jc w:val="left"/>
              <w:rPr>
                <w:rFonts w:hint="eastAsia" w:ascii="楷体_GB2312" w:hAnsi="宋体" w:eastAsia="楷体_GB2312" w:cs="宋体"/>
                <w:sz w:val="24"/>
              </w:rPr>
            </w:pPr>
            <w:r>
              <w:rPr>
                <w:rFonts w:hint="eastAsia" w:ascii="楷体_GB2312" w:hAnsi="宋体" w:eastAsia="楷体_GB2312" w:cs="宋体"/>
                <w:b/>
                <w:sz w:val="24"/>
              </w:rPr>
              <w:t>1、</w:t>
            </w:r>
            <w:r>
              <w:rPr>
                <w:rFonts w:hint="eastAsia" w:ascii="楷体_GB2312" w:eastAsia="楷体_GB2312"/>
                <w:b/>
                <w:bCs/>
                <w:color w:val="000000"/>
                <w:sz w:val="24"/>
              </w:rPr>
              <w:t>统计范围</w:t>
            </w:r>
            <w:r>
              <w:rPr>
                <w:rFonts w:hint="eastAsia" w:ascii="楷体_GB2312" w:eastAsia="楷体_GB2312"/>
                <w:bCs/>
                <w:color w:val="000000"/>
                <w:sz w:val="24"/>
              </w:rPr>
              <w:t>：</w:t>
            </w:r>
            <w:r>
              <w:rPr>
                <w:rFonts w:hint="eastAsia" w:ascii="楷体_GB2312" w:eastAsia="楷体_GB2312"/>
                <w:color w:val="000000"/>
                <w:sz w:val="24"/>
              </w:rPr>
              <w:t>规模以上工业企业</w:t>
            </w:r>
            <w:r>
              <w:rPr>
                <w:rFonts w:hint="eastAsia" w:ascii="楷体_GB2312" w:eastAsia="楷体_GB2312"/>
                <w:color w:val="000000"/>
                <w:sz w:val="24"/>
                <w:lang w:eastAsia="zh-CN"/>
              </w:rPr>
              <w:t>即</w:t>
            </w:r>
            <w:r>
              <w:rPr>
                <w:rFonts w:hint="eastAsia" w:ascii="楷体_GB2312" w:eastAsia="楷体_GB2312"/>
                <w:color w:val="000000"/>
                <w:sz w:val="24"/>
              </w:rPr>
              <w:t>年主营业务收入2000万元及以上的法人工业企业。</w:t>
            </w:r>
            <w:r>
              <w:rPr>
                <w:rFonts w:hint="eastAsia" w:ascii="楷体_GB2312" w:eastAsia="楷体_GB2312"/>
                <w:color w:val="000000"/>
                <w:sz w:val="24"/>
              </w:rPr>
              <w:br w:type="textWrapping"/>
            </w:r>
            <w:r>
              <w:rPr>
                <w:rFonts w:hint="eastAsia" w:ascii="楷体_GB2312" w:eastAsia="楷体_GB2312"/>
                <w:b/>
                <w:bCs/>
                <w:color w:val="000000"/>
                <w:sz w:val="24"/>
              </w:rPr>
              <w:t>2、采集渠道</w:t>
            </w:r>
            <w:r>
              <w:rPr>
                <w:rFonts w:hint="eastAsia" w:ascii="楷体_GB2312" w:eastAsia="楷体_GB2312"/>
                <w:bCs/>
                <w:color w:val="000000"/>
                <w:sz w:val="24"/>
              </w:rPr>
              <w:t>：</w:t>
            </w:r>
            <w:r>
              <w:rPr>
                <w:rFonts w:hint="eastAsia" w:ascii="楷体_GB2312" w:eastAsia="楷体_GB2312"/>
                <w:color w:val="000000"/>
                <w:sz w:val="24"/>
              </w:rPr>
              <w:t>规模以上工业法人单位按照《工业统计报表制度》要求，如实填报统计报表，通过统计</w:t>
            </w:r>
            <w:r>
              <w:rPr>
                <w:rFonts w:hint="eastAsia" w:ascii="楷体_GB2312" w:hAnsi="宋体" w:eastAsia="楷体_GB2312" w:cs="宋体"/>
                <w:b w:val="0"/>
                <w:bCs w:val="0"/>
                <w:sz w:val="24"/>
                <w:lang w:eastAsia="zh-CN"/>
              </w:rPr>
              <w:t>联网直报</w:t>
            </w:r>
            <w:r>
              <w:rPr>
                <w:rFonts w:hint="eastAsia" w:ascii="楷体_GB2312" w:eastAsia="楷体_GB2312"/>
                <w:color w:val="000000"/>
                <w:sz w:val="24"/>
              </w:rPr>
              <w:t>平台上报统计数据。区统计部门经过审核，汇总全区规模以上工业统计数据，经北京市统计局统一审核评估后对外发布。</w:t>
            </w:r>
            <w:r>
              <w:rPr>
                <w:rFonts w:hint="eastAsia" w:ascii="楷体_GB2312" w:eastAsia="楷体_GB2312"/>
                <w:color w:val="000000"/>
                <w:sz w:val="24"/>
              </w:rPr>
              <w:br w:type="textWrapping"/>
            </w:r>
            <w:r>
              <w:rPr>
                <w:rFonts w:hint="eastAsia" w:ascii="楷体_GB2312" w:eastAsia="楷体_GB2312"/>
                <w:b/>
                <w:bCs/>
                <w:color w:val="000000"/>
                <w:sz w:val="24"/>
              </w:rPr>
              <w:t>3、主要统计指标解释</w:t>
            </w:r>
            <w:r>
              <w:rPr>
                <w:rFonts w:hint="eastAsia" w:ascii="楷体_GB2312" w:eastAsia="楷体_GB2312"/>
                <w:color w:val="000000"/>
                <w:sz w:val="24"/>
              </w:rPr>
              <w:t>：</w:t>
            </w:r>
            <w:r>
              <w:rPr>
                <w:rFonts w:hint="eastAsia" w:ascii="楷体_GB2312" w:eastAsia="楷体_GB2312"/>
                <w:bCs/>
                <w:color w:val="000000"/>
                <w:sz w:val="24"/>
              </w:rPr>
              <w:t>规模以上工业总产值</w:t>
            </w:r>
            <w:r>
              <w:rPr>
                <w:rFonts w:hint="eastAsia" w:ascii="楷体_GB2312" w:eastAsia="楷体_GB2312"/>
                <w:bCs/>
                <w:color w:val="000000"/>
                <w:sz w:val="24"/>
                <w:lang w:eastAsia="zh-CN"/>
              </w:rPr>
              <w:t>：</w:t>
            </w:r>
            <w:r>
              <w:rPr>
                <w:rFonts w:hint="eastAsia" w:ascii="楷体_GB2312" w:eastAsia="楷体_GB2312"/>
                <w:color w:val="000000"/>
                <w:sz w:val="24"/>
              </w:rPr>
              <w:t>指规模以上工业企业在一定时期内生产的以货币形式表现的工业最终产品和提供</w:t>
            </w:r>
            <w:r>
              <w:rPr>
                <w:rFonts w:hint="eastAsia" w:ascii="楷体_GB2312" w:eastAsia="楷体_GB2312"/>
                <w:color w:val="000000"/>
                <w:sz w:val="24"/>
                <w:lang w:eastAsia="zh-CN"/>
              </w:rPr>
              <w:t>工业</w:t>
            </w:r>
            <w:r>
              <w:rPr>
                <w:rFonts w:hint="eastAsia" w:ascii="楷体_GB2312" w:eastAsia="楷体_GB2312"/>
                <w:color w:val="000000"/>
                <w:sz w:val="24"/>
              </w:rPr>
              <w:t>劳务活动的总价值量，包括生产的成品价值、对外加工费收入、自制半成品在制品期末期初差额价值三</w:t>
            </w:r>
            <w:r>
              <w:rPr>
                <w:rFonts w:hint="eastAsia" w:ascii="楷体_GB2312" w:eastAsia="楷体_GB2312"/>
                <w:bCs/>
                <w:color w:val="000000"/>
                <w:sz w:val="24"/>
              </w:rPr>
              <w:t>部分。工业销售产值</w:t>
            </w:r>
            <w:r>
              <w:rPr>
                <w:rFonts w:hint="eastAsia" w:ascii="楷体_GB2312" w:eastAsia="楷体_GB2312"/>
                <w:bCs/>
                <w:color w:val="000000"/>
                <w:sz w:val="24"/>
                <w:lang w:eastAsia="zh-CN"/>
              </w:rPr>
              <w:t>：</w:t>
            </w:r>
            <w:r>
              <w:rPr>
                <w:rFonts w:hint="eastAsia" w:ascii="楷体_GB2312" w:eastAsia="楷体_GB2312"/>
                <w:bCs/>
                <w:color w:val="000000"/>
                <w:sz w:val="24"/>
              </w:rPr>
              <w:t>指以货币形式表现的，工业企业在报告期内销售的本企业生产的工业产品或提供工业性劳务价值的总价值量。</w:t>
            </w:r>
          </w:p>
        </w:tc>
      </w:tr>
    </w:tbl>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tabs>
          <w:tab w:val="left" w:pos="4492"/>
        </w:tabs>
        <w:kinsoku/>
        <w:wordWrap/>
        <w:overflowPunct/>
        <w:topLinePunct w:val="0"/>
        <w:autoSpaceDE/>
        <w:autoSpaceDN/>
        <w:bidi w:val="0"/>
        <w:adjustRightInd w:val="0"/>
        <w:snapToGrid w:val="0"/>
        <w:jc w:val="left"/>
        <w:rPr>
          <w:rFonts w:hint="eastAsia"/>
          <w:lang w:val="en-US" w:eastAsia="zh-CN"/>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tabs>
          <w:tab w:val="left" w:pos="4492"/>
        </w:tabs>
        <w:kinsoku/>
        <w:wordWrap/>
        <w:overflowPunct/>
        <w:topLinePunct w:val="0"/>
        <w:autoSpaceDE/>
        <w:autoSpaceDN/>
        <w:bidi w:val="0"/>
        <w:adjustRightInd w:val="0"/>
        <w:snapToGrid w:val="0"/>
        <w:jc w:val="left"/>
        <w:rPr>
          <w:rFonts w:hint="eastAsia"/>
          <w:lang w:val="en-US" w:eastAsia="zh-CN"/>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pStyle w:val="2"/>
        <w:rPr>
          <w:rFonts w:hint="eastAsia"/>
          <w:b/>
          <w:color w:val="0000FF"/>
          <w:sz w:val="36"/>
          <w:szCs w:val="36"/>
        </w:rPr>
      </w:pPr>
    </w:p>
    <w:p>
      <w:pPr>
        <w:rPr>
          <w:rFonts w:hint="eastAsia"/>
          <w:b/>
          <w:color w:val="0000FF"/>
          <w:sz w:val="36"/>
          <w:szCs w:val="36"/>
        </w:rPr>
      </w:pPr>
    </w:p>
    <w:p>
      <w:pPr>
        <w:pStyle w:val="2"/>
        <w:rPr>
          <w:rFonts w:hint="eastAsia"/>
          <w:b/>
          <w:color w:val="0000FF"/>
          <w:sz w:val="36"/>
          <w:szCs w:val="36"/>
        </w:rPr>
      </w:pPr>
    </w:p>
    <w:p>
      <w:pPr>
        <w:rPr>
          <w:rFonts w:hint="eastAsia"/>
        </w:rPr>
      </w:pPr>
    </w:p>
    <w:p>
      <w:pPr>
        <w:pStyle w:val="2"/>
        <w:rPr>
          <w:rFonts w:hint="eastAsia"/>
          <w:b/>
          <w:color w:val="0000FF"/>
          <w:sz w:val="36"/>
          <w:szCs w:val="36"/>
        </w:rPr>
      </w:pPr>
    </w:p>
    <w:p>
      <w:pPr>
        <w:rPr>
          <w:rFonts w:hint="eastAsia"/>
        </w:rPr>
      </w:pPr>
    </w:p>
    <w:p>
      <w:pPr>
        <w:keepNext w:val="0"/>
        <w:keepLines w:val="0"/>
        <w:pageBreakBefore w:val="0"/>
        <w:kinsoku/>
        <w:wordWrap/>
        <w:overflowPunct/>
        <w:topLinePunct w:val="0"/>
        <w:autoSpaceDE/>
        <w:autoSpaceDN/>
        <w:bidi w:val="0"/>
        <w:adjustRightInd w:val="0"/>
        <w:snapToGrid w:val="0"/>
        <w:jc w:val="left"/>
        <w:rPr>
          <w:rFonts w:hint="eastAsia"/>
          <w:b/>
          <w:color w:val="0000FF"/>
          <w:sz w:val="36"/>
          <w:szCs w:val="36"/>
        </w:rPr>
      </w:pPr>
    </w:p>
    <w:p>
      <w:pPr>
        <w:rPr>
          <w:rFonts w:hint="eastAsia"/>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Quicksand Light">
    <w:panose1 w:val="00000400000000000000"/>
    <w:charset w:val="00"/>
    <w:family w:val="auto"/>
    <w:pitch w:val="default"/>
    <w:sig w:usb0="2000000F" w:usb1="00000001" w:usb2="00000000" w:usb3="00000000" w:csb0="20000193"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7E29E1"/>
    <w:rsid w:val="338177D2"/>
    <w:rsid w:val="33EA3D20"/>
    <w:rsid w:val="349C766D"/>
    <w:rsid w:val="34C40933"/>
    <w:rsid w:val="352C3131"/>
    <w:rsid w:val="36381881"/>
    <w:rsid w:val="364D3747"/>
    <w:rsid w:val="368A245A"/>
    <w:rsid w:val="36B82B10"/>
    <w:rsid w:val="36BE5A08"/>
    <w:rsid w:val="37FDA29B"/>
    <w:rsid w:val="38AC4A90"/>
    <w:rsid w:val="392A6086"/>
    <w:rsid w:val="393A7BCB"/>
    <w:rsid w:val="39C8393A"/>
    <w:rsid w:val="3ACA405B"/>
    <w:rsid w:val="3AEE30EC"/>
    <w:rsid w:val="3B4C203F"/>
    <w:rsid w:val="3B505972"/>
    <w:rsid w:val="3C094926"/>
    <w:rsid w:val="3CA06950"/>
    <w:rsid w:val="3CD34D5E"/>
    <w:rsid w:val="3DF66AB0"/>
    <w:rsid w:val="3E5544D7"/>
    <w:rsid w:val="3ED06649"/>
    <w:rsid w:val="3EFB9B05"/>
    <w:rsid w:val="3F1DF777"/>
    <w:rsid w:val="3FA684FA"/>
    <w:rsid w:val="3FAB96BE"/>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CF5A56D"/>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895C40"/>
    <w:rsid w:val="54F42AFF"/>
    <w:rsid w:val="55600A1D"/>
    <w:rsid w:val="5567A25D"/>
    <w:rsid w:val="55B05FB6"/>
    <w:rsid w:val="55DA02B9"/>
    <w:rsid w:val="560D74DF"/>
    <w:rsid w:val="567412A4"/>
    <w:rsid w:val="568A0C6F"/>
    <w:rsid w:val="56BB328C"/>
    <w:rsid w:val="56BB6F22"/>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365EBC"/>
    <w:rsid w:val="5D4E0726"/>
    <w:rsid w:val="5D8F6061"/>
    <w:rsid w:val="5FBF9E10"/>
    <w:rsid w:val="5FC37593"/>
    <w:rsid w:val="5FDF0B1C"/>
    <w:rsid w:val="60FA610A"/>
    <w:rsid w:val="613D007B"/>
    <w:rsid w:val="61C65AFE"/>
    <w:rsid w:val="62578C3C"/>
    <w:rsid w:val="62612361"/>
    <w:rsid w:val="639114E6"/>
    <w:rsid w:val="63FFCE8E"/>
    <w:rsid w:val="64EFEFDC"/>
    <w:rsid w:val="65797765"/>
    <w:rsid w:val="663F737A"/>
    <w:rsid w:val="675F8F65"/>
    <w:rsid w:val="677F438B"/>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F75584F"/>
    <w:rsid w:val="6F9D743A"/>
    <w:rsid w:val="6FBF1FE6"/>
    <w:rsid w:val="6FC7354D"/>
    <w:rsid w:val="6FFEDE62"/>
    <w:rsid w:val="6FFF682D"/>
    <w:rsid w:val="6FFFDF34"/>
    <w:rsid w:val="71080D89"/>
    <w:rsid w:val="7175080B"/>
    <w:rsid w:val="7186F4B4"/>
    <w:rsid w:val="726A1098"/>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EF1077"/>
    <w:rsid w:val="77F30C7B"/>
    <w:rsid w:val="78B553DE"/>
    <w:rsid w:val="78E85C94"/>
    <w:rsid w:val="791B108A"/>
    <w:rsid w:val="797D4315"/>
    <w:rsid w:val="79D39A60"/>
    <w:rsid w:val="79FFC88B"/>
    <w:rsid w:val="7A100E94"/>
    <w:rsid w:val="7AC2683B"/>
    <w:rsid w:val="7B423B59"/>
    <w:rsid w:val="7B6FE944"/>
    <w:rsid w:val="7BA3EC91"/>
    <w:rsid w:val="7BE1996B"/>
    <w:rsid w:val="7BE787CF"/>
    <w:rsid w:val="7C58388D"/>
    <w:rsid w:val="7C7A5981"/>
    <w:rsid w:val="7CF5D5DB"/>
    <w:rsid w:val="7D5D6A50"/>
    <w:rsid w:val="7D7EC8CD"/>
    <w:rsid w:val="7DFF7F9D"/>
    <w:rsid w:val="7E282AF5"/>
    <w:rsid w:val="7E3D82B6"/>
    <w:rsid w:val="7E7F0693"/>
    <w:rsid w:val="7E93995F"/>
    <w:rsid w:val="7EBE223A"/>
    <w:rsid w:val="7ED92472"/>
    <w:rsid w:val="7ED99CC2"/>
    <w:rsid w:val="7F1879BC"/>
    <w:rsid w:val="7F1F605A"/>
    <w:rsid w:val="7F3A5975"/>
    <w:rsid w:val="7F5E5D34"/>
    <w:rsid w:val="7FE78266"/>
    <w:rsid w:val="7FEC7E2E"/>
    <w:rsid w:val="7FFCE708"/>
    <w:rsid w:val="7FFF1899"/>
    <w:rsid w:val="81EB3C3A"/>
    <w:rsid w:val="867BD1A3"/>
    <w:rsid w:val="8CDA845A"/>
    <w:rsid w:val="8FDD6C5D"/>
    <w:rsid w:val="95CB16DE"/>
    <w:rsid w:val="99B77EE0"/>
    <w:rsid w:val="9E7B6197"/>
    <w:rsid w:val="9FED37BA"/>
    <w:rsid w:val="9FEF833D"/>
    <w:rsid w:val="A1F996D1"/>
    <w:rsid w:val="AB6F98F3"/>
    <w:rsid w:val="B3BFB75D"/>
    <w:rsid w:val="B7799B9E"/>
    <w:rsid w:val="B7FF7374"/>
    <w:rsid w:val="BA7B23C6"/>
    <w:rsid w:val="BB9F279F"/>
    <w:rsid w:val="BBAED6DE"/>
    <w:rsid w:val="BCB190C7"/>
    <w:rsid w:val="BDF6F2E2"/>
    <w:rsid w:val="BF5FD585"/>
    <w:rsid w:val="BF69E885"/>
    <w:rsid w:val="BFB650B6"/>
    <w:rsid w:val="BFBFBE35"/>
    <w:rsid w:val="BFCF3C75"/>
    <w:rsid w:val="C5EF46FA"/>
    <w:rsid w:val="C6FCE371"/>
    <w:rsid w:val="C7F7F066"/>
    <w:rsid w:val="CCAB1B50"/>
    <w:rsid w:val="CD3B0D55"/>
    <w:rsid w:val="D57D44D0"/>
    <w:rsid w:val="D7EE2A06"/>
    <w:rsid w:val="DA77DE6A"/>
    <w:rsid w:val="DBB74874"/>
    <w:rsid w:val="DDF6AF67"/>
    <w:rsid w:val="DEAFFE52"/>
    <w:rsid w:val="DEFFBE36"/>
    <w:rsid w:val="DF2A8BD6"/>
    <w:rsid w:val="DF7BDF92"/>
    <w:rsid w:val="DF8DE048"/>
    <w:rsid w:val="DFAB23FE"/>
    <w:rsid w:val="DFB724C3"/>
    <w:rsid w:val="DFBFE4DB"/>
    <w:rsid w:val="DFFCAA03"/>
    <w:rsid w:val="E7DD7C91"/>
    <w:rsid w:val="E7DF7792"/>
    <w:rsid w:val="E7F7B4E4"/>
    <w:rsid w:val="E7FDA2F2"/>
    <w:rsid w:val="EA6790F0"/>
    <w:rsid w:val="EBEF1CA0"/>
    <w:rsid w:val="EBF5BF5A"/>
    <w:rsid w:val="EDFE27A9"/>
    <w:rsid w:val="EE7D0685"/>
    <w:rsid w:val="EEFF3E89"/>
    <w:rsid w:val="EF53D677"/>
    <w:rsid w:val="EF7D7BB4"/>
    <w:rsid w:val="EF99AF02"/>
    <w:rsid w:val="EFDFF313"/>
    <w:rsid w:val="EFFF7ED6"/>
    <w:rsid w:val="F047853D"/>
    <w:rsid w:val="F2ECBDBB"/>
    <w:rsid w:val="F37BA8A6"/>
    <w:rsid w:val="F4C7C781"/>
    <w:rsid w:val="F5B3655B"/>
    <w:rsid w:val="F5FF6C02"/>
    <w:rsid w:val="F69F3012"/>
    <w:rsid w:val="F6F3A81F"/>
    <w:rsid w:val="F6FE7D1F"/>
    <w:rsid w:val="F77E2CBB"/>
    <w:rsid w:val="F7AB5BD3"/>
    <w:rsid w:val="F7B564CC"/>
    <w:rsid w:val="F7BFE11D"/>
    <w:rsid w:val="F7F7C514"/>
    <w:rsid w:val="F9EA3835"/>
    <w:rsid w:val="FAF3CC9F"/>
    <w:rsid w:val="FAFF5057"/>
    <w:rsid w:val="FBDF6E2B"/>
    <w:rsid w:val="FBF73AA4"/>
    <w:rsid w:val="FBFF326E"/>
    <w:rsid w:val="FD661357"/>
    <w:rsid w:val="FDBED163"/>
    <w:rsid w:val="FDF3622D"/>
    <w:rsid w:val="FE1BD8BF"/>
    <w:rsid w:val="FE3F8DB9"/>
    <w:rsid w:val="FE77F456"/>
    <w:rsid w:val="FECFFF92"/>
    <w:rsid w:val="FEF39F24"/>
    <w:rsid w:val="FF7F7B4C"/>
    <w:rsid w:val="FF9FF837"/>
    <w:rsid w:val="FFAD37E5"/>
    <w:rsid w:val="FFAD6E52"/>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1</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2020-08-23T01:20:00Z</dcterms:created>
  <dc:creator>NTKO</dc:creator>
  <cp:lastModifiedBy>zhk</cp:lastModifiedBy>
  <cp:lastPrinted>2025-09-24T23:25:00Z</cp:lastPrinted>
  <dcterms:modified xsi:type="dcterms:W3CDTF">2025-09-25T14:14:08Z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