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eastAsia="宋体"/>
          <w:b/>
          <w:color w:val="0000FF"/>
          <w:sz w:val="36"/>
          <w:szCs w:val="36"/>
          <w:lang w:val="en-US" w:eastAsia="zh-CN"/>
        </w:rPr>
      </w:pPr>
      <w:bookmarkStart w:id="0" w:name="_GoBack"/>
      <w:r>
        <w:rPr>
          <w:rFonts w:hint="default"/>
          <w:b/>
          <w:color w:val="0000FF"/>
          <w:sz w:val="36"/>
          <w:szCs w:val="36"/>
          <w:lang w:val="en" w:eastAsia="zh-CN"/>
        </w:rPr>
        <w:t>2025年</w:t>
      </w:r>
      <w:r>
        <w:rPr>
          <w:rFonts w:hint="eastAsia"/>
          <w:b/>
          <w:color w:val="0000FF"/>
          <w:sz w:val="36"/>
          <w:szCs w:val="36"/>
          <w:lang w:val="en" w:eastAsia="zh-CN"/>
        </w:rPr>
        <w:t>1-8月密云区</w:t>
      </w:r>
      <w:r>
        <w:rPr>
          <w:rFonts w:hint="eastAsia"/>
          <w:b/>
          <w:color w:val="0000FF"/>
          <w:sz w:val="36"/>
          <w:szCs w:val="36"/>
        </w:rPr>
        <w:t>固定资产投资</w:t>
      </w:r>
      <w:r>
        <w:rPr>
          <w:rFonts w:hint="eastAsia"/>
          <w:b/>
          <w:color w:val="0000FF"/>
          <w:sz w:val="36"/>
          <w:szCs w:val="36"/>
          <w:lang w:eastAsia="zh-CN"/>
        </w:rPr>
        <w:t>（不含农户）</w:t>
      </w:r>
      <w:r>
        <w:rPr>
          <w:rFonts w:hint="eastAsia"/>
          <w:b/>
          <w:color w:val="0000FF"/>
          <w:sz w:val="36"/>
          <w:szCs w:val="36"/>
        </w:rPr>
        <w:t>情况</w:t>
      </w:r>
    </w:p>
    <w:bookmarkEnd w:id="0"/>
    <w:tbl>
      <w:tblPr>
        <w:tblStyle w:val="6"/>
        <w:tblW w:w="7700" w:type="dxa"/>
        <w:jc w:val="center"/>
        <w:tblLayout w:type="fixed"/>
        <w:tblCellMar>
          <w:top w:w="0" w:type="dxa"/>
          <w:left w:w="108" w:type="dxa"/>
          <w:bottom w:w="0" w:type="dxa"/>
          <w:right w:w="108" w:type="dxa"/>
        </w:tblCellMar>
      </w:tblPr>
      <w:tblGrid>
        <w:gridCol w:w="5271"/>
        <w:gridCol w:w="2363"/>
        <w:gridCol w:w="66"/>
      </w:tblGrid>
      <w:tr>
        <w:tblPrEx>
          <w:tblCellMar>
            <w:top w:w="0" w:type="dxa"/>
            <w:left w:w="108" w:type="dxa"/>
            <w:bottom w:w="0" w:type="dxa"/>
            <w:right w:w="108" w:type="dxa"/>
          </w:tblCellMar>
        </w:tblPrEx>
        <w:trPr>
          <w:gridAfter w:val="1"/>
          <w:wAfter w:w="66" w:type="dxa"/>
          <w:trHeight w:val="583" w:hRule="atLeast"/>
          <w:jc w:val="center"/>
        </w:trPr>
        <w:tc>
          <w:tcPr>
            <w:tcW w:w="5271"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2363"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rPr>
            </w:pPr>
            <w:r>
              <w:rPr>
                <w:rFonts w:hint="eastAsia" w:ascii="宋体" w:hAnsi="宋体" w:cs="宋体"/>
                <w:kern w:val="0"/>
                <w:sz w:val="24"/>
              </w:rPr>
              <w:t>同比增长</w:t>
            </w:r>
          </w:p>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w:t>
            </w:r>
          </w:p>
        </w:tc>
      </w:tr>
      <w:tr>
        <w:tblPrEx>
          <w:tblCellMar>
            <w:top w:w="0" w:type="dxa"/>
            <w:left w:w="108" w:type="dxa"/>
            <w:bottom w:w="0" w:type="dxa"/>
            <w:right w:w="108" w:type="dxa"/>
          </w:tblCellMar>
        </w:tblPrEx>
        <w:trPr>
          <w:gridAfter w:val="1"/>
          <w:wAfter w:w="66" w:type="dxa"/>
          <w:trHeight w:val="416"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jc w:val="left"/>
              <w:rPr>
                <w:rFonts w:ascii="宋体" w:hAnsi="宋体" w:cs="宋体"/>
                <w:b/>
                <w:kern w:val="0"/>
                <w:sz w:val="24"/>
              </w:rPr>
            </w:pPr>
            <w:r>
              <w:rPr>
                <w:rFonts w:hint="eastAsia" w:ascii="宋体" w:hAnsi="宋体" w:cs="宋体"/>
                <w:b/>
                <w:kern w:val="0"/>
                <w:sz w:val="24"/>
              </w:rPr>
              <w:t>固定资产投资（不含农户）</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Theme="minorEastAsia" w:hAnsiTheme="minorEastAsia" w:eastAsiaTheme="minorEastAsia" w:cstheme="minorEastAsia"/>
                <w:b/>
                <w:bCs/>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13.0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第一产业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-15.9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第二产业</w:t>
            </w:r>
          </w:p>
        </w:tc>
        <w:tc>
          <w:tcPr>
            <w:tcW w:w="236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eastAsia" w:asciiTheme="minorEastAsia" w:hAnsiTheme="minorEastAsia" w:eastAsiaTheme="minorEastAsia" w:cstheme="minorEastAsia"/>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35.4 </w:t>
            </w:r>
          </w:p>
        </w:tc>
      </w:tr>
      <w:tr>
        <w:tblPrEx>
          <w:tblCellMar>
            <w:top w:w="0" w:type="dxa"/>
            <w:left w:w="108" w:type="dxa"/>
            <w:bottom w:w="0" w:type="dxa"/>
            <w:right w:w="108" w:type="dxa"/>
          </w:tblCellMar>
        </w:tblPrEx>
        <w:trPr>
          <w:gridAfter w:val="1"/>
          <w:wAfter w:w="66" w:type="dxa"/>
          <w:trHeight w:val="408" w:hRule="atLeast"/>
          <w:jc w:val="center"/>
        </w:trPr>
        <w:tc>
          <w:tcPr>
            <w:tcW w:w="5271" w:type="dxa"/>
            <w:tcBorders>
              <w:top w:val="nil"/>
              <w:left w:val="nil"/>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440" w:lineRule="exact"/>
              <w:ind w:firstLine="480" w:firstLineChars="200"/>
              <w:jc w:val="left"/>
              <w:rPr>
                <w:rFonts w:hint="eastAsia" w:ascii="宋体" w:hAnsi="宋体" w:cs="宋体"/>
                <w:kern w:val="0"/>
                <w:sz w:val="24"/>
              </w:rPr>
            </w:pPr>
            <w:r>
              <w:rPr>
                <w:rFonts w:hint="eastAsia" w:ascii="宋体" w:hAnsi="宋体" w:cs="宋体"/>
                <w:kern w:val="0"/>
                <w:sz w:val="24"/>
              </w:rPr>
              <w:t>第三产业</w:t>
            </w:r>
          </w:p>
        </w:tc>
        <w:tc>
          <w:tcPr>
            <w:tcW w:w="2363" w:type="dxa"/>
            <w:tcBorders>
              <w:top w:val="nil"/>
              <w:left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right"/>
              <w:textAlignment w:val="center"/>
              <w:rPr>
                <w:rFonts w:hint="default" w:asciiTheme="minorEastAsia" w:hAnsiTheme="minorEastAsia" w:eastAsiaTheme="minorEastAsia" w:cstheme="minorEastAsia"/>
                <w:b w:val="0"/>
                <w:bCs w:val="0"/>
                <w:i w:val="0"/>
                <w:color w:val="000000"/>
                <w:kern w:val="0"/>
                <w:sz w:val="24"/>
                <w:szCs w:val="24"/>
                <w:u w:val="none"/>
                <w:lang w:val="en" w:eastAsia="zh-CN" w:bidi="ar"/>
              </w:rPr>
            </w:pPr>
            <w:r>
              <w:rPr>
                <w:rFonts w:hint="eastAsia" w:ascii="宋体" w:hAnsi="宋体" w:eastAsia="宋体" w:cs="宋体"/>
                <w:i w:val="0"/>
                <w:color w:val="000000"/>
                <w:kern w:val="0"/>
                <w:sz w:val="24"/>
                <w:szCs w:val="24"/>
                <w:u w:val="none"/>
                <w:lang w:val="en-US" w:eastAsia="zh-CN" w:bidi="ar"/>
              </w:rPr>
              <w:t xml:space="preserve">10.6 </w:t>
            </w:r>
          </w:p>
        </w:tc>
      </w:tr>
      <w:tr>
        <w:tblPrEx>
          <w:tblCellMar>
            <w:top w:w="0" w:type="dxa"/>
            <w:left w:w="108" w:type="dxa"/>
            <w:bottom w:w="0" w:type="dxa"/>
            <w:right w:w="108" w:type="dxa"/>
          </w:tblCellMar>
        </w:tblPrEx>
        <w:trPr>
          <w:trHeight w:val="2907" w:hRule="atLeast"/>
          <w:jc w:val="center"/>
        </w:trPr>
        <w:tc>
          <w:tcPr>
            <w:tcW w:w="7700" w:type="dxa"/>
            <w:gridSpan w:val="3"/>
            <w:tcBorders>
              <w:top w:val="single" w:color="auto" w:sz="8" w:space="0"/>
              <w:left w:val="nil"/>
            </w:tcBorders>
            <w:vAlign w:val="center"/>
          </w:tcPr>
          <w:p>
            <w:pPr>
              <w:keepNext w:val="0"/>
              <w:keepLines w:val="0"/>
              <w:pageBreakBefore w:val="0"/>
              <w:kinsoku/>
              <w:wordWrap/>
              <w:overflowPunct/>
              <w:topLinePunct w:val="0"/>
              <w:autoSpaceDE/>
              <w:autoSpaceDN/>
              <w:bidi w:val="0"/>
              <w:adjustRightInd w:val="0"/>
              <w:snapToGrid w:val="0"/>
              <w:jc w:val="left"/>
              <w:rPr>
                <w:rFonts w:hint="eastAsia" w:ascii="楷体_GB2312" w:hAnsi="宋体" w:eastAsia="楷体_GB2312" w:cs="宋体"/>
                <w:bCs/>
                <w:sz w:val="24"/>
              </w:rPr>
            </w:pPr>
            <w:r>
              <w:rPr>
                <w:rFonts w:hint="eastAsia" w:ascii="楷体_GB2312" w:hAnsi="宋体" w:eastAsia="楷体_GB2312" w:cs="宋体"/>
                <w:bCs/>
                <w:sz w:val="24"/>
              </w:rPr>
              <w:t>注释：</w:t>
            </w:r>
          </w:p>
          <w:p>
            <w:pPr>
              <w:keepNext w:val="0"/>
              <w:keepLines w:val="0"/>
              <w:widowControl/>
              <w:suppressLineNumbers w:val="0"/>
              <w:jc w:val="left"/>
              <w:rPr>
                <w:rFonts w:hint="eastAsia" w:ascii="楷体_GB2312" w:hAnsi="宋体" w:eastAsia="楷体_GB2312" w:cs="宋体"/>
                <w:b w:val="0"/>
                <w:bCs w:val="0"/>
                <w:kern w:val="0"/>
                <w:sz w:val="24"/>
                <w:szCs w:val="24"/>
                <w:lang w:val="en-US" w:eastAsia="zh-CN" w:bidi="ar-SA"/>
              </w:rPr>
            </w:pPr>
            <w:r>
              <w:rPr>
                <w:rFonts w:hint="eastAsia" w:ascii="楷体_GB2312" w:hAnsi="宋体" w:eastAsia="楷体_GB2312" w:cs="宋体"/>
                <w:b/>
                <w:bCs/>
                <w:sz w:val="24"/>
              </w:rPr>
              <w:t>1、统计范围：</w:t>
            </w:r>
            <w:r>
              <w:rPr>
                <w:rFonts w:hint="eastAsia" w:ascii="楷体_GB2312" w:hAnsi="宋体" w:eastAsia="楷体_GB2312" w:cs="宋体"/>
                <w:b w:val="0"/>
                <w:bCs w:val="0"/>
                <w:kern w:val="0"/>
                <w:sz w:val="24"/>
                <w:szCs w:val="24"/>
                <w:lang w:val="en-US" w:eastAsia="zh-CN" w:bidi="ar-SA"/>
              </w:rPr>
              <w:t>计划总投资500万元及以上固定资产投资项目的各种登记注册统计类别的单位及个体经营户、有开发经营活动的房地产开发经营业法人单位。</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2、采集渠道：</w:t>
            </w:r>
            <w:r>
              <w:rPr>
                <w:rFonts w:hint="eastAsia" w:ascii="楷体_GB2312" w:hAnsi="宋体" w:eastAsia="楷体_GB2312" w:cs="宋体"/>
                <w:b w:val="0"/>
                <w:bCs w:val="0"/>
                <w:sz w:val="24"/>
              </w:rPr>
              <w:t>符合统计范围的固定资产投资项目单位按照《固定资产投资统计报表制度》、《房地产开发统计报表制度》的要求，通过统计联网直报平台上报统计数据。</w:t>
            </w:r>
          </w:p>
          <w:p>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ind w:left="0" w:right="0"/>
              <w:rPr>
                <w:rFonts w:hint="eastAsia" w:ascii="楷体_GB2312" w:hAnsi="宋体" w:eastAsia="楷体_GB2312" w:cs="宋体"/>
                <w:b/>
                <w:bCs/>
                <w:sz w:val="24"/>
              </w:rPr>
            </w:pPr>
            <w:r>
              <w:rPr>
                <w:rFonts w:hint="eastAsia" w:ascii="楷体_GB2312" w:hAnsi="宋体" w:eastAsia="楷体_GB2312" w:cs="宋体"/>
                <w:b/>
                <w:bCs/>
                <w:sz w:val="24"/>
              </w:rPr>
              <w:t>3、主要统计指标解释：</w:t>
            </w:r>
          </w:p>
          <w:p>
            <w:pPr>
              <w:keepNext w:val="0"/>
              <w:keepLines w:val="0"/>
              <w:pageBreakBefore w:val="0"/>
              <w:kinsoku/>
              <w:wordWrap/>
              <w:overflowPunct/>
              <w:topLinePunct w:val="0"/>
              <w:autoSpaceDE/>
              <w:autoSpaceDN/>
              <w:bidi w:val="0"/>
              <w:adjustRightInd w:val="0"/>
              <w:snapToGrid w:val="0"/>
              <w:rPr>
                <w:rFonts w:hint="eastAsia" w:ascii="楷体_GB2312" w:hAnsi="宋体" w:eastAsia="楷体_GB2312" w:cs="宋体"/>
                <w:bCs/>
                <w:sz w:val="24"/>
              </w:rPr>
            </w:pPr>
            <w:r>
              <w:rPr>
                <w:rFonts w:hint="eastAsia" w:ascii="楷体_GB2312" w:hAnsi="宋体" w:eastAsia="楷体_GB2312" w:cs="宋体"/>
                <w:b w:val="0"/>
                <w:bCs w:val="0"/>
                <w:sz w:val="24"/>
              </w:rPr>
              <w:t>固定资产投资：指以货币形式表现的在一定时期内建造和购置固定资产的工作量以及与此有关的费用的总称。</w:t>
            </w:r>
          </w:p>
        </w:tc>
      </w:tr>
    </w:tbl>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rPr>
          <w:rFonts w:hint="eastAsia"/>
        </w:rPr>
      </w:pPr>
    </w:p>
    <w:p>
      <w:pPr>
        <w:keepNext w:val="0"/>
        <w:keepLines w:val="0"/>
        <w:pageBreakBefore w:val="0"/>
        <w:kinsoku/>
        <w:wordWrap/>
        <w:overflowPunct/>
        <w:topLinePunct w:val="0"/>
        <w:autoSpaceDE/>
        <w:autoSpaceDN/>
        <w:bidi w:val="0"/>
        <w:adjustRightInd w:val="0"/>
        <w:snapToGrid w:val="0"/>
        <w:jc w:val="center"/>
        <w:rPr>
          <w:rFonts w:hint="default"/>
          <w:b/>
          <w:color w:val="0000FF"/>
          <w:sz w:val="36"/>
          <w:szCs w:val="36"/>
          <w:lang w:val="en" w:eastAsia="zh-CN"/>
        </w:rPr>
      </w:pPr>
    </w:p>
    <w:p>
      <w:pPr>
        <w:pStyle w:val="2"/>
        <w:rPr>
          <w:rFonts w:hint="default"/>
          <w:b/>
          <w:color w:val="0000FF"/>
          <w:sz w:val="36"/>
          <w:szCs w:val="36"/>
          <w:lang w:val="en" w:eastAsia="zh-CN"/>
        </w:rPr>
      </w:pPr>
    </w:p>
    <w:p>
      <w:pPr>
        <w:rPr>
          <w:rFonts w:hint="default"/>
          <w:b/>
          <w:color w:val="0000FF"/>
          <w:sz w:val="36"/>
          <w:szCs w:val="36"/>
          <w:lang w:val="en" w:eastAsia="zh-CN"/>
        </w:rPr>
      </w:pPr>
    </w:p>
    <w:p>
      <w:pPr>
        <w:pStyle w:val="2"/>
        <w:rPr>
          <w:rFonts w:hint="eastAsia"/>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Quicksand Light">
    <w:panose1 w:val="00000400000000000000"/>
    <w:charset w:val="00"/>
    <w:family w:val="auto"/>
    <w:pitch w:val="default"/>
    <w:sig w:usb0="2000000F" w:usb1="00000001" w:usb2="00000000" w:usb3="00000000" w:csb0="20000193" w:csb1="00000000"/>
  </w:font>
  <w:font w:name="方正黑体_GBK">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E4220D5"/>
    <w:rsid w:val="0E927B34"/>
    <w:rsid w:val="0EDD0097"/>
    <w:rsid w:val="103E310E"/>
    <w:rsid w:val="118634F1"/>
    <w:rsid w:val="12917D5A"/>
    <w:rsid w:val="13BA65BA"/>
    <w:rsid w:val="13C96186"/>
    <w:rsid w:val="13DB96C9"/>
    <w:rsid w:val="141623DE"/>
    <w:rsid w:val="163459DA"/>
    <w:rsid w:val="169355EC"/>
    <w:rsid w:val="172B5C42"/>
    <w:rsid w:val="176149FE"/>
    <w:rsid w:val="19715261"/>
    <w:rsid w:val="1A21665C"/>
    <w:rsid w:val="1AD30A1E"/>
    <w:rsid w:val="1AD8402B"/>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315F1FAD"/>
    <w:rsid w:val="31767B07"/>
    <w:rsid w:val="32326294"/>
    <w:rsid w:val="32812E6E"/>
    <w:rsid w:val="32A7716C"/>
    <w:rsid w:val="33661F81"/>
    <w:rsid w:val="337E29E1"/>
    <w:rsid w:val="338177D2"/>
    <w:rsid w:val="33EA3D20"/>
    <w:rsid w:val="349C766D"/>
    <w:rsid w:val="34C40933"/>
    <w:rsid w:val="352C3131"/>
    <w:rsid w:val="36381881"/>
    <w:rsid w:val="364D3747"/>
    <w:rsid w:val="368A245A"/>
    <w:rsid w:val="36B82B10"/>
    <w:rsid w:val="36BE5A08"/>
    <w:rsid w:val="37FDA29B"/>
    <w:rsid w:val="38AC4A90"/>
    <w:rsid w:val="392A6086"/>
    <w:rsid w:val="393A7BCB"/>
    <w:rsid w:val="39C8393A"/>
    <w:rsid w:val="3ACA405B"/>
    <w:rsid w:val="3AEE30EC"/>
    <w:rsid w:val="3B4C203F"/>
    <w:rsid w:val="3B505972"/>
    <w:rsid w:val="3C094926"/>
    <w:rsid w:val="3CA06950"/>
    <w:rsid w:val="3CD34D5E"/>
    <w:rsid w:val="3DF66AB0"/>
    <w:rsid w:val="3E5544D7"/>
    <w:rsid w:val="3ED06649"/>
    <w:rsid w:val="3EFB9B05"/>
    <w:rsid w:val="3F1DF777"/>
    <w:rsid w:val="3FA684FA"/>
    <w:rsid w:val="3FAB96BE"/>
    <w:rsid w:val="3FDB5DF1"/>
    <w:rsid w:val="3FDED793"/>
    <w:rsid w:val="3FDF4110"/>
    <w:rsid w:val="3FF311AD"/>
    <w:rsid w:val="3FFE10C8"/>
    <w:rsid w:val="401D61C0"/>
    <w:rsid w:val="414B607C"/>
    <w:rsid w:val="41A3549E"/>
    <w:rsid w:val="426042E3"/>
    <w:rsid w:val="42D90AF2"/>
    <w:rsid w:val="440C601A"/>
    <w:rsid w:val="441A04D4"/>
    <w:rsid w:val="46216826"/>
    <w:rsid w:val="46FF42F7"/>
    <w:rsid w:val="475234D8"/>
    <w:rsid w:val="476A13E8"/>
    <w:rsid w:val="47790412"/>
    <w:rsid w:val="47A86E6D"/>
    <w:rsid w:val="47E027CA"/>
    <w:rsid w:val="47FEAB4D"/>
    <w:rsid w:val="489B5BDB"/>
    <w:rsid w:val="4937785D"/>
    <w:rsid w:val="4AE90A8D"/>
    <w:rsid w:val="4B3D5C27"/>
    <w:rsid w:val="4B4551F2"/>
    <w:rsid w:val="4C2220D4"/>
    <w:rsid w:val="4C6D69D1"/>
    <w:rsid w:val="4CEB2530"/>
    <w:rsid w:val="4CF5A56D"/>
    <w:rsid w:val="4D1BC49A"/>
    <w:rsid w:val="4D8016E5"/>
    <w:rsid w:val="4D863A49"/>
    <w:rsid w:val="4D9327C0"/>
    <w:rsid w:val="4DC718E7"/>
    <w:rsid w:val="4DD01001"/>
    <w:rsid w:val="4E665BA6"/>
    <w:rsid w:val="4F024081"/>
    <w:rsid w:val="4F560168"/>
    <w:rsid w:val="4F5746E4"/>
    <w:rsid w:val="4F6D24BE"/>
    <w:rsid w:val="4FF703F7"/>
    <w:rsid w:val="50D8657E"/>
    <w:rsid w:val="51512E17"/>
    <w:rsid w:val="526977BB"/>
    <w:rsid w:val="52FB1BC2"/>
    <w:rsid w:val="53EF48C2"/>
    <w:rsid w:val="53F57A86"/>
    <w:rsid w:val="54895C40"/>
    <w:rsid w:val="54F42AFF"/>
    <w:rsid w:val="55600A1D"/>
    <w:rsid w:val="5567A25D"/>
    <w:rsid w:val="55B05FB6"/>
    <w:rsid w:val="55DA02B9"/>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365EBC"/>
    <w:rsid w:val="5D4E0726"/>
    <w:rsid w:val="5D8F6061"/>
    <w:rsid w:val="5FBF9E10"/>
    <w:rsid w:val="5FC37593"/>
    <w:rsid w:val="5FDF0B1C"/>
    <w:rsid w:val="60FA610A"/>
    <w:rsid w:val="613D007B"/>
    <w:rsid w:val="61C65AFE"/>
    <w:rsid w:val="62578C3C"/>
    <w:rsid w:val="62612361"/>
    <w:rsid w:val="639114E6"/>
    <w:rsid w:val="63FFCE8E"/>
    <w:rsid w:val="64EFEFDC"/>
    <w:rsid w:val="65797765"/>
    <w:rsid w:val="663F737A"/>
    <w:rsid w:val="675F8F65"/>
    <w:rsid w:val="677F438B"/>
    <w:rsid w:val="67927ED5"/>
    <w:rsid w:val="67CB7260"/>
    <w:rsid w:val="67FD4902"/>
    <w:rsid w:val="687C1C1C"/>
    <w:rsid w:val="699E7C2F"/>
    <w:rsid w:val="69BE7033"/>
    <w:rsid w:val="69F16919"/>
    <w:rsid w:val="6A294847"/>
    <w:rsid w:val="6A65276C"/>
    <w:rsid w:val="6AC47901"/>
    <w:rsid w:val="6AFF3DA2"/>
    <w:rsid w:val="6B320384"/>
    <w:rsid w:val="6C02332D"/>
    <w:rsid w:val="6C0F7A99"/>
    <w:rsid w:val="6C257DC9"/>
    <w:rsid w:val="6C4B421F"/>
    <w:rsid w:val="6D5A4B7F"/>
    <w:rsid w:val="6EA39D6C"/>
    <w:rsid w:val="6F75584F"/>
    <w:rsid w:val="6F9D743A"/>
    <w:rsid w:val="6FBF1FE6"/>
    <w:rsid w:val="6FC7354D"/>
    <w:rsid w:val="6FFEDE62"/>
    <w:rsid w:val="6FFF682D"/>
    <w:rsid w:val="6FFFDF34"/>
    <w:rsid w:val="71080D89"/>
    <w:rsid w:val="7175080B"/>
    <w:rsid w:val="7186F4B4"/>
    <w:rsid w:val="726A1098"/>
    <w:rsid w:val="737B2704"/>
    <w:rsid w:val="73A6F0C8"/>
    <w:rsid w:val="73CC0211"/>
    <w:rsid w:val="73EFABBB"/>
    <w:rsid w:val="741F23A4"/>
    <w:rsid w:val="74501C96"/>
    <w:rsid w:val="757EAA3D"/>
    <w:rsid w:val="75DFCC41"/>
    <w:rsid w:val="75E61BEE"/>
    <w:rsid w:val="75EE766E"/>
    <w:rsid w:val="75F745C8"/>
    <w:rsid w:val="7607511D"/>
    <w:rsid w:val="765833C3"/>
    <w:rsid w:val="77166765"/>
    <w:rsid w:val="7720627A"/>
    <w:rsid w:val="778962BC"/>
    <w:rsid w:val="779A77AC"/>
    <w:rsid w:val="77E9D9C2"/>
    <w:rsid w:val="77EF1077"/>
    <w:rsid w:val="77F30C7B"/>
    <w:rsid w:val="78B553DE"/>
    <w:rsid w:val="78E85C94"/>
    <w:rsid w:val="791B108A"/>
    <w:rsid w:val="797D4315"/>
    <w:rsid w:val="79D39A60"/>
    <w:rsid w:val="79FFC88B"/>
    <w:rsid w:val="7A100E94"/>
    <w:rsid w:val="7AC2683B"/>
    <w:rsid w:val="7B423B59"/>
    <w:rsid w:val="7B6FE944"/>
    <w:rsid w:val="7BA3EC91"/>
    <w:rsid w:val="7BE1996B"/>
    <w:rsid w:val="7BE787CF"/>
    <w:rsid w:val="7C58388D"/>
    <w:rsid w:val="7C7A5981"/>
    <w:rsid w:val="7CF5D5DB"/>
    <w:rsid w:val="7D5D6A50"/>
    <w:rsid w:val="7D7EC8CD"/>
    <w:rsid w:val="7DFF7F9D"/>
    <w:rsid w:val="7E282AF5"/>
    <w:rsid w:val="7E3D82B6"/>
    <w:rsid w:val="7E7F0693"/>
    <w:rsid w:val="7E93995F"/>
    <w:rsid w:val="7EBE223A"/>
    <w:rsid w:val="7ED92472"/>
    <w:rsid w:val="7ED99CC2"/>
    <w:rsid w:val="7F1879BC"/>
    <w:rsid w:val="7F1F605A"/>
    <w:rsid w:val="7F3A5975"/>
    <w:rsid w:val="7F5E5D34"/>
    <w:rsid w:val="7FE78266"/>
    <w:rsid w:val="7FEC7E2E"/>
    <w:rsid w:val="7FFCE708"/>
    <w:rsid w:val="7FFF1899"/>
    <w:rsid w:val="81EB3C3A"/>
    <w:rsid w:val="867BD1A3"/>
    <w:rsid w:val="8CDA845A"/>
    <w:rsid w:val="8FDD6C5D"/>
    <w:rsid w:val="95CB16DE"/>
    <w:rsid w:val="99B77EE0"/>
    <w:rsid w:val="9E7B6197"/>
    <w:rsid w:val="9FED37BA"/>
    <w:rsid w:val="9FEF833D"/>
    <w:rsid w:val="A1F996D1"/>
    <w:rsid w:val="AB6F98F3"/>
    <w:rsid w:val="B3BFB75D"/>
    <w:rsid w:val="B7799B9E"/>
    <w:rsid w:val="B7FF7374"/>
    <w:rsid w:val="BA7B23C6"/>
    <w:rsid w:val="BB9F279F"/>
    <w:rsid w:val="BBAED6DE"/>
    <w:rsid w:val="BCB190C7"/>
    <w:rsid w:val="BDF6F2E2"/>
    <w:rsid w:val="BF5FD585"/>
    <w:rsid w:val="BF69E885"/>
    <w:rsid w:val="BFB650B6"/>
    <w:rsid w:val="BFBFBE35"/>
    <w:rsid w:val="BFCF3C75"/>
    <w:rsid w:val="C5EF46FA"/>
    <w:rsid w:val="C6FCE371"/>
    <w:rsid w:val="C7F7F066"/>
    <w:rsid w:val="CCAB1B50"/>
    <w:rsid w:val="CD3B0D55"/>
    <w:rsid w:val="D57D44D0"/>
    <w:rsid w:val="D7EE2A06"/>
    <w:rsid w:val="DA77DE6A"/>
    <w:rsid w:val="DBB74874"/>
    <w:rsid w:val="DBDCD6B1"/>
    <w:rsid w:val="DDF6AF67"/>
    <w:rsid w:val="DEAFFE52"/>
    <w:rsid w:val="DEFFBE36"/>
    <w:rsid w:val="DF2A8BD6"/>
    <w:rsid w:val="DF7BDF92"/>
    <w:rsid w:val="DF8DE048"/>
    <w:rsid w:val="DFAB23FE"/>
    <w:rsid w:val="DFB724C3"/>
    <w:rsid w:val="DFBFE4DB"/>
    <w:rsid w:val="DFFCAA03"/>
    <w:rsid w:val="E7DD7C91"/>
    <w:rsid w:val="E7DF7792"/>
    <w:rsid w:val="E7F7B4E4"/>
    <w:rsid w:val="E7FDA2F2"/>
    <w:rsid w:val="EA6790F0"/>
    <w:rsid w:val="EBEF1CA0"/>
    <w:rsid w:val="EBF5BF5A"/>
    <w:rsid w:val="EDFE27A9"/>
    <w:rsid w:val="EE7D0685"/>
    <w:rsid w:val="EEFF3E89"/>
    <w:rsid w:val="EF53D677"/>
    <w:rsid w:val="EF7D7BB4"/>
    <w:rsid w:val="EF99AF02"/>
    <w:rsid w:val="EFDFF313"/>
    <w:rsid w:val="EFFF7ED6"/>
    <w:rsid w:val="F047853D"/>
    <w:rsid w:val="F2ECBDBB"/>
    <w:rsid w:val="F37BA8A6"/>
    <w:rsid w:val="F4C7C781"/>
    <w:rsid w:val="F5B3655B"/>
    <w:rsid w:val="F5FF6C02"/>
    <w:rsid w:val="F69F3012"/>
    <w:rsid w:val="F6F3A81F"/>
    <w:rsid w:val="F6FE7D1F"/>
    <w:rsid w:val="F77E2CBB"/>
    <w:rsid w:val="F7AB5BD3"/>
    <w:rsid w:val="F7B564CC"/>
    <w:rsid w:val="F7BFE11D"/>
    <w:rsid w:val="F7F7C514"/>
    <w:rsid w:val="F9EA3835"/>
    <w:rsid w:val="FAF3CC9F"/>
    <w:rsid w:val="FAFF5057"/>
    <w:rsid w:val="FBDF6E2B"/>
    <w:rsid w:val="FBF73AA4"/>
    <w:rsid w:val="FBFF326E"/>
    <w:rsid w:val="FD661357"/>
    <w:rsid w:val="FDBED163"/>
    <w:rsid w:val="FDF3622D"/>
    <w:rsid w:val="FE1BD8BF"/>
    <w:rsid w:val="FE3F8DB9"/>
    <w:rsid w:val="FE77F456"/>
    <w:rsid w:val="FECFFF92"/>
    <w:rsid w:val="FEF39F24"/>
    <w:rsid w:val="FF7F7B4C"/>
    <w:rsid w:val="FF9FF837"/>
    <w:rsid w:val="FFAD37E5"/>
    <w:rsid w:val="FFAD6E52"/>
    <w:rsid w:val="FFD83BD6"/>
    <w:rsid w:val="FFDB47DB"/>
    <w:rsid w:val="FFDDC2DC"/>
    <w:rsid w:val="FFDF4CDE"/>
    <w:rsid w:val="FFDFD5D3"/>
    <w:rsid w:val="FFE6752D"/>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2020-08-23T01:20:00Z</dcterms:created>
  <dc:creator>NTKO</dc:creator>
  <cp:lastModifiedBy>zhk</cp:lastModifiedBy>
  <cp:lastPrinted>2025-09-24T23:25:00Z</cp:lastPrinted>
  <dcterms:modified xsi:type="dcterms:W3CDTF">2025-09-25T14:13:13Z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