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FF"/>
          <w:sz w:val="36"/>
          <w:szCs w:val="36"/>
        </w:rPr>
      </w:pPr>
      <w:bookmarkStart w:id="0" w:name="_GoBack"/>
      <w:r>
        <w:rPr>
          <w:rFonts w:hint="eastAsia"/>
          <w:b/>
          <w:color w:val="0000FF"/>
          <w:sz w:val="36"/>
          <w:szCs w:val="36"/>
          <w:lang w:eastAsia="zh-CN"/>
        </w:rPr>
        <w:t>建筑业统计数据：2024年1-4季度</w:t>
      </w:r>
      <w:r>
        <w:rPr>
          <w:rFonts w:hint="eastAsia"/>
          <w:b/>
          <w:color w:val="0000FF"/>
          <w:sz w:val="36"/>
          <w:szCs w:val="36"/>
        </w:rPr>
        <w:t>资质建筑业</w:t>
      </w:r>
      <w:r>
        <w:rPr>
          <w:rFonts w:hint="eastAsia"/>
          <w:b/>
          <w:color w:val="0000FF"/>
          <w:sz w:val="36"/>
          <w:szCs w:val="36"/>
          <w:lang w:eastAsia="zh-CN"/>
        </w:rPr>
        <w:t>生产</w:t>
      </w:r>
      <w:r>
        <w:rPr>
          <w:rFonts w:hint="eastAsia"/>
          <w:b/>
          <w:color w:val="0000FF"/>
          <w:sz w:val="36"/>
          <w:szCs w:val="36"/>
        </w:rPr>
        <w:t>情况</w:t>
      </w:r>
    </w:p>
    <w:bookmarkEnd w:id="0"/>
    <w:tbl>
      <w:tblPr>
        <w:tblStyle w:val="6"/>
        <w:tblW w:w="13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
        <w:gridCol w:w="3560"/>
        <w:gridCol w:w="1536"/>
        <w:gridCol w:w="1680"/>
        <w:gridCol w:w="1560"/>
        <w:gridCol w:w="1692"/>
        <w:gridCol w:w="1740"/>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3592" w:type="dxa"/>
            <w:gridSpan w:val="2"/>
            <w:vMerge w:val="restart"/>
            <w:tcBorders>
              <w:top w:val="single" w:color="auto" w:sz="1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指 标 名 称</w:t>
            </w:r>
          </w:p>
        </w:tc>
        <w:tc>
          <w:tcPr>
            <w:tcW w:w="3216"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签订合同额</w:t>
            </w:r>
          </w:p>
        </w:tc>
        <w:tc>
          <w:tcPr>
            <w:tcW w:w="3252"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建筑业总产值</w:t>
            </w:r>
          </w:p>
        </w:tc>
        <w:tc>
          <w:tcPr>
            <w:tcW w:w="3208" w:type="dxa"/>
            <w:gridSpan w:val="2"/>
            <w:tcBorders>
              <w:top w:val="single" w:color="auto" w:sz="1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竣工产值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exact"/>
        </w:trPr>
        <w:tc>
          <w:tcPr>
            <w:tcW w:w="3592" w:type="dxa"/>
            <w:gridSpan w:val="2"/>
            <w:vMerge w:val="continue"/>
            <w:tcBorders>
              <w:top w:val="single" w:color="auto" w:sz="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p>
        </w:tc>
        <w:tc>
          <w:tcPr>
            <w:tcW w:w="15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5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9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7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468" w:type="dxa"/>
            <w:tcBorders>
              <w:top w:val="single" w:color="auto" w:sz="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single" w:color="auto" w:sz="2" w:space="0"/>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全区合计</w:t>
            </w:r>
          </w:p>
        </w:tc>
        <w:tc>
          <w:tcPr>
            <w:tcW w:w="1536"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2831932 </w:t>
            </w:r>
          </w:p>
        </w:tc>
        <w:tc>
          <w:tcPr>
            <w:tcW w:w="168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12.4 </w:t>
            </w:r>
          </w:p>
        </w:tc>
        <w:tc>
          <w:tcPr>
            <w:tcW w:w="156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1604107 </w:t>
            </w:r>
          </w:p>
        </w:tc>
        <w:tc>
          <w:tcPr>
            <w:tcW w:w="1692"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-12.0 </w:t>
            </w:r>
          </w:p>
        </w:tc>
        <w:tc>
          <w:tcPr>
            <w:tcW w:w="174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1280077 </w:t>
            </w:r>
          </w:p>
        </w:tc>
        <w:tc>
          <w:tcPr>
            <w:tcW w:w="1468" w:type="dxa"/>
            <w:tcBorders>
              <w:top w:val="single" w:color="auto" w:sz="2" w:space="0"/>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按行业类别</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房屋建筑业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1048573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26.5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395897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2.2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552390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土木工程建筑业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1107221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5.8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673785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-26.0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430673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建筑安装业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158334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11.5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89215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-7.9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62788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建筑装饰、装修和其他建筑业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517803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3.0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445210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3.9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234227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按资质等级</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施工总承包</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2105330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16.2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712917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-6.8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856997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08" w:hRule="exact"/>
        </w:trPr>
        <w:tc>
          <w:tcPr>
            <w:tcW w:w="3592" w:type="dxa"/>
            <w:gridSpan w:val="2"/>
            <w:tcBorders>
              <w:top w:val="nil"/>
              <w:left w:val="nil"/>
              <w:bottom w:val="single" w:color="auto" w:sz="12" w:space="0"/>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专业承包</w:t>
            </w:r>
          </w:p>
        </w:tc>
        <w:tc>
          <w:tcPr>
            <w:tcW w:w="1536"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726602 </w:t>
            </w:r>
          </w:p>
        </w:tc>
        <w:tc>
          <w:tcPr>
            <w:tcW w:w="168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2.5 </w:t>
            </w:r>
          </w:p>
        </w:tc>
        <w:tc>
          <w:tcPr>
            <w:tcW w:w="156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891190 </w:t>
            </w:r>
          </w:p>
        </w:tc>
        <w:tc>
          <w:tcPr>
            <w:tcW w:w="1692"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-15.8 </w:t>
            </w:r>
          </w:p>
        </w:tc>
        <w:tc>
          <w:tcPr>
            <w:tcW w:w="174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423080 </w:t>
            </w:r>
          </w:p>
        </w:tc>
        <w:tc>
          <w:tcPr>
            <w:tcW w:w="1468" w:type="dxa"/>
            <w:tcBorders>
              <w:top w:val="nil"/>
              <w:left w:val="single" w:color="auto" w:sz="2" w:space="0"/>
              <w:bottom w:val="single" w:color="auto"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90" w:hRule="atLeast"/>
        </w:trPr>
        <w:tc>
          <w:tcPr>
            <w:tcW w:w="13236"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_GB2312" w:hAnsi="宋体" w:eastAsia="楷体_GB2312" w:cs="宋体"/>
                <w:kern w:val="0"/>
                <w:sz w:val="24"/>
              </w:rPr>
            </w:pPr>
            <w:r>
              <w:rPr>
                <w:rFonts w:hint="eastAsia" w:ascii="楷体_GB2312" w:hAnsi="宋体" w:eastAsia="楷体_GB2312" w:cs="宋体"/>
                <w:kern w:val="0"/>
                <w:sz w:val="24"/>
              </w:rPr>
              <w:t>注释：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color w:val="000000"/>
                <w:sz w:val="20"/>
                <w:szCs w:val="20"/>
                <w:u w:val="none"/>
              </w:rPr>
            </w:pPr>
            <w:r>
              <w:rPr>
                <w:rFonts w:hint="eastAsia" w:ascii="楷体_GB2312" w:hAnsi="宋体" w:eastAsia="楷体_GB2312" w:cs="宋体"/>
                <w:b/>
                <w:bCs/>
                <w:kern w:val="0"/>
                <w:sz w:val="24"/>
                <w:lang w:val="en-US" w:eastAsia="zh-CN"/>
              </w:rPr>
              <w:t>1、</w:t>
            </w:r>
            <w:r>
              <w:rPr>
                <w:rFonts w:hint="eastAsia" w:ascii="楷体_GB2312" w:hAnsi="宋体" w:eastAsia="楷体_GB2312" w:cs="宋体"/>
                <w:b/>
                <w:bCs/>
                <w:kern w:val="0"/>
                <w:sz w:val="24"/>
              </w:rPr>
              <w:t>统计范围：</w:t>
            </w:r>
            <w:r>
              <w:rPr>
                <w:rFonts w:hint="eastAsia" w:ascii="楷体_GB2312" w:hAnsi="宋体" w:eastAsia="楷体_GB2312" w:cs="宋体"/>
                <w:kern w:val="0"/>
                <w:sz w:val="24"/>
              </w:rPr>
              <w:t>统</w:t>
            </w:r>
            <w:r>
              <w:rPr>
                <w:rFonts w:hint="eastAsia" w:ascii="楷体_GB2312" w:hAnsi="宋体" w:eastAsia="楷体_GB2312" w:cs="宋体"/>
                <w:bCs/>
                <w:kern w:val="0"/>
                <w:sz w:val="24"/>
                <w:szCs w:val="24"/>
                <w:lang w:val="en-US" w:eastAsia="zh-CN" w:bidi="ar-SA"/>
              </w:rPr>
              <w:t>计范围为具有资质的建筑业法人单位，即指领取了《企业法人营业执照》，并经各级建设行政主管部门审核批准，获得总承包、专业承包《建筑业企业资质证书》的建筑业法人单位。</w:t>
            </w:r>
            <w:r>
              <w:rPr>
                <w:rFonts w:hint="eastAsia" w:ascii="楷体_GB2312" w:hAnsi="宋体" w:eastAsia="楷体_GB2312" w:cs="宋体"/>
                <w:bCs/>
                <w:kern w:val="0"/>
                <w:sz w:val="24"/>
                <w:szCs w:val="24"/>
                <w:lang w:val="en-US" w:eastAsia="zh-CN" w:bidi="ar-SA"/>
              </w:rPr>
              <w:br w:type="textWrapping"/>
            </w:r>
            <w:r>
              <w:rPr>
                <w:rFonts w:hint="eastAsia" w:ascii="楷体_GB2312" w:hAnsi="宋体" w:eastAsia="楷体_GB2312" w:cs="宋体"/>
                <w:b/>
                <w:bCs/>
                <w:kern w:val="0"/>
                <w:sz w:val="24"/>
              </w:rPr>
              <w:t>2、采集渠道：</w:t>
            </w:r>
            <w:r>
              <w:rPr>
                <w:rFonts w:hint="eastAsia" w:ascii="楷体_GB2312" w:hAnsi="宋体" w:eastAsia="楷体_GB2312" w:cs="宋体"/>
                <w:kern w:val="0"/>
                <w:sz w:val="24"/>
              </w:rPr>
              <w:t>纳入统计范围的建筑业企业按照《建筑业统计报表制度》要求，通过统计数据集中采集平台上报统计数据。</w:t>
            </w:r>
            <w:r>
              <w:rPr>
                <w:rFonts w:hint="eastAsia" w:ascii="楷体_GB2312" w:eastAsia="楷体_GB2312"/>
                <w:color w:val="000000"/>
                <w:sz w:val="24"/>
              </w:rPr>
              <w:t>经北京市统计局统一审核评估后对外发布</w:t>
            </w:r>
            <w:r>
              <w:rPr>
                <w:rFonts w:hint="eastAsia" w:ascii="楷体_GB2312" w:eastAsia="楷体_GB2312"/>
                <w:color w:val="000000"/>
                <w:sz w:val="24"/>
                <w:lang w:eastAsia="zh-CN"/>
              </w:rPr>
              <w:t>。</w:t>
            </w:r>
            <w:r>
              <w:rPr>
                <w:rFonts w:hint="eastAsia" w:ascii="楷体_GB2312" w:hAnsi="宋体" w:eastAsia="楷体_GB2312" w:cs="宋体"/>
                <w:kern w:val="0"/>
                <w:sz w:val="24"/>
              </w:rPr>
              <w:br w:type="textWrapping"/>
            </w:r>
            <w:r>
              <w:rPr>
                <w:rFonts w:hint="eastAsia" w:ascii="楷体_GB2312" w:hAnsi="宋体" w:eastAsia="楷体_GB2312" w:cs="宋体"/>
                <w:b/>
                <w:bCs/>
                <w:kern w:val="0"/>
                <w:sz w:val="24"/>
              </w:rPr>
              <w:t>3、主要统计指标解释：</w:t>
            </w:r>
            <w:r>
              <w:rPr>
                <w:rFonts w:hint="eastAsia" w:ascii="楷体_GB2312" w:hAnsi="宋体" w:eastAsia="楷体_GB2312" w:cs="宋体"/>
                <w:b w:val="0"/>
                <w:bCs/>
                <w:kern w:val="0"/>
                <w:sz w:val="24"/>
                <w:szCs w:val="24"/>
              </w:rPr>
              <w:t>签订合同额</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指建筑业企业在报告期直接同建设单位签订的各种国内工程合同的总价款和以前年度同建设单位签订的各种国内工程合同的未完工程跨入本年度继续施工工程合同的总价款余额。建筑业总产值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指以货币表现的建筑业企业在一定时期内生产的建筑业产品和服务的总和。建筑业总产值包括建筑工程产值、安装工程产值和其他产值三部分内容</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竣工产值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一般是以单位工程为对象，当该工程按照设计所规定的工程内容全部完成，达到了设计规定的交工条件，经有关部门检查验收鉴定合格的单位工程价值，即为竣工产值。</w:t>
            </w:r>
          </w:p>
        </w:tc>
      </w:tr>
    </w:tbl>
    <w:p>
      <w:pPr>
        <w:pStyle w:val="2"/>
        <w:rPr>
          <w:rFonts w:hint="eastAsia"/>
          <w:lang w:val="en-US" w:eastAsia="zh-CN"/>
        </w:rPr>
      </w:pPr>
    </w:p>
    <w:sectPr>
      <w:headerReference r:id="rId3" w:type="default"/>
      <w:pgSz w:w="16838" w:h="11906" w:orient="landscape"/>
      <w:pgMar w:top="1440" w:right="1800" w:bottom="873"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4F41B1"/>
    <w:rsid w:val="7F5E5D34"/>
    <w:rsid w:val="81EB3C3A"/>
    <w:rsid w:val="8CDA845A"/>
    <w:rsid w:val="8FDD6C5D"/>
    <w:rsid w:val="99B77EE0"/>
    <w:rsid w:val="9FED37BA"/>
    <w:rsid w:val="A1F996D1"/>
    <w:rsid w:val="AB6F98F3"/>
    <w:rsid w:val="B7799B9E"/>
    <w:rsid w:val="B7FF7374"/>
    <w:rsid w:val="BB9F279F"/>
    <w:rsid w:val="BDF6F2E2"/>
    <w:rsid w:val="BF69E885"/>
    <w:rsid w:val="BFB650B6"/>
    <w:rsid w:val="C6FCE371"/>
    <w:rsid w:val="C7F7F066"/>
    <w:rsid w:val="CD3B0D55"/>
    <w:rsid w:val="D57D44D0"/>
    <w:rsid w:val="D7EE2A06"/>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FE7D1F"/>
    <w:rsid w:val="F7B564CC"/>
    <w:rsid w:val="F7BFE11D"/>
    <w:rsid w:val="FBDF6E2B"/>
    <w:rsid w:val="FE3F8DB9"/>
    <w:rsid w:val="FE77F456"/>
    <w:rsid w:val="FECFFF92"/>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2020-08-12T01:20:00Z</dcterms:created>
  <dc:creator>NTKO</dc:creator>
  <cp:lastModifiedBy>zhk</cp:lastModifiedBy>
  <cp:lastPrinted>2025-01-25T06:35:00Z</cp:lastPrinted>
  <dcterms:modified xsi:type="dcterms:W3CDTF">2025-01-27T08:52:37Z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