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790" w:tblpY="296"/>
        <w:tblOverlap w:val="never"/>
        <w:tblW w:w="136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5"/>
        <w:gridCol w:w="2194"/>
        <w:gridCol w:w="2193"/>
        <w:gridCol w:w="1974"/>
        <w:gridCol w:w="21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exact"/>
        </w:trPr>
        <w:tc>
          <w:tcPr>
            <w:tcW w:w="13600" w:type="dxa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atLeast"/>
              <w:jc w:val="center"/>
              <w:outlineLvl w:val="9"/>
              <w:rPr>
                <w:color w:val="404040"/>
                <w:sz w:val="30"/>
                <w:szCs w:val="30"/>
              </w:rPr>
            </w:pPr>
            <w:bookmarkStart w:id="0" w:name="_GoBack"/>
            <w:r>
              <w:rPr>
                <w:rFonts w:hint="eastAsia" w:ascii="Times New Roman" w:hAnsi="Times New Roman" w:eastAsia="宋体" w:cs="Times New Roman"/>
                <w:b/>
                <w:color w:val="0000FF"/>
                <w:kern w:val="2"/>
                <w:sz w:val="36"/>
                <w:szCs w:val="36"/>
                <w:lang w:val="en-US" w:eastAsia="zh-CN" w:bidi="ar-SA"/>
              </w:rPr>
              <w:t>居民收支统计数据：2024年</w:t>
            </w:r>
            <w:r>
              <w:rPr>
                <w:rFonts w:hint="default" w:ascii="Times New Roman" w:hAnsi="Times New Roman" w:eastAsia="宋体" w:cs="Times New Roman"/>
                <w:b/>
                <w:color w:val="0000FF"/>
                <w:kern w:val="2"/>
                <w:sz w:val="36"/>
                <w:szCs w:val="36"/>
                <w:lang w:val="en" w:eastAsia="zh-CN" w:bidi="ar-SA"/>
              </w:rPr>
              <w:t>1-3季</w:t>
            </w:r>
            <w:r>
              <w:rPr>
                <w:rFonts w:hint="eastAsia" w:ascii="Times New Roman" w:hAnsi="Times New Roman" w:eastAsia="宋体" w:cs="Times New Roman"/>
                <w:b/>
                <w:color w:val="0000FF"/>
                <w:kern w:val="2"/>
                <w:sz w:val="36"/>
                <w:szCs w:val="36"/>
                <w:lang w:val="en-US" w:eastAsia="zh-CN" w:bidi="ar-SA"/>
              </w:rPr>
              <w:t>度居民人均消费支出情况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5045" w:type="dxa"/>
            <w:vMerge w:val="restart"/>
            <w:tcBorders>
              <w:top w:val="single" w:color="auto" w:sz="12" w:space="0"/>
              <w:left w:val="nil"/>
              <w:bottom w:val="single" w:color="auto" w:sz="2" w:space="0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 标 名 称</w:t>
            </w:r>
          </w:p>
        </w:tc>
        <w:tc>
          <w:tcPr>
            <w:tcW w:w="4387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Style w:val="8"/>
                <w:rFonts w:hint="eastAsia" w:ascii="宋体" w:hAnsi="宋体" w:eastAsia="宋体" w:cs="宋体"/>
                <w:b w:val="0"/>
                <w:bCs/>
                <w:color w:val="404040"/>
                <w:sz w:val="24"/>
                <w:szCs w:val="24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404040"/>
                <w:sz w:val="24"/>
                <w:szCs w:val="24"/>
                <w:lang w:eastAsia="zh-CN"/>
              </w:rPr>
              <w:t>全区居民</w:t>
            </w:r>
          </w:p>
        </w:tc>
        <w:tc>
          <w:tcPr>
            <w:tcW w:w="4168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Style w:val="8"/>
                <w:rFonts w:hint="eastAsia" w:ascii="宋体" w:hAnsi="宋体" w:eastAsia="宋体" w:cs="宋体"/>
                <w:b w:val="0"/>
                <w:bCs/>
                <w:color w:val="404040"/>
                <w:sz w:val="24"/>
                <w:szCs w:val="24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404040"/>
                <w:sz w:val="24"/>
                <w:szCs w:val="24"/>
                <w:lang w:eastAsia="zh-CN"/>
              </w:rPr>
              <w:t>城镇居民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</w:trPr>
        <w:tc>
          <w:tcPr>
            <w:tcW w:w="5045" w:type="dxa"/>
            <w:vMerge w:val="continue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Style w:val="8"/>
                <w:rFonts w:hint="eastAsia" w:ascii="宋体" w:hAnsi="宋体" w:eastAsia="宋体" w:cs="宋体"/>
                <w:b w:val="0"/>
                <w:bCs/>
                <w:color w:val="404040"/>
                <w:sz w:val="24"/>
                <w:szCs w:val="24"/>
                <w:lang w:eastAsia="zh-CN"/>
              </w:rPr>
            </w:pPr>
            <w:r>
              <w:rPr>
                <w:rStyle w:val="8"/>
                <w:rFonts w:hint="eastAsia" w:ascii="宋体" w:hAnsi="宋体" w:cs="宋体"/>
                <w:b w:val="0"/>
                <w:bCs/>
                <w:color w:val="404040"/>
                <w:sz w:val="24"/>
                <w:szCs w:val="24"/>
                <w:lang w:eastAsia="zh-CN"/>
              </w:rPr>
              <w:t>2024年</w:t>
            </w:r>
            <w:r>
              <w:rPr>
                <w:rStyle w:val="8"/>
                <w:rFonts w:hint="default" w:ascii="宋体" w:hAnsi="宋体" w:cs="宋体"/>
                <w:b w:val="0"/>
                <w:bCs/>
                <w:color w:val="404040"/>
                <w:sz w:val="24"/>
                <w:szCs w:val="24"/>
                <w:lang w:val="en" w:eastAsia="zh-CN"/>
              </w:rPr>
              <w:t>1-3季</w:t>
            </w:r>
            <w:r>
              <w:rPr>
                <w:rStyle w:val="8"/>
                <w:rFonts w:hint="eastAsia" w:ascii="宋体" w:hAnsi="宋体" w:cs="宋体"/>
                <w:b w:val="0"/>
                <w:bCs/>
                <w:color w:val="404040"/>
                <w:sz w:val="24"/>
                <w:szCs w:val="24"/>
                <w:lang w:eastAsia="zh-CN"/>
              </w:rPr>
              <w:t>度</w:t>
            </w:r>
          </w:p>
        </w:tc>
        <w:tc>
          <w:tcPr>
            <w:tcW w:w="21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Style w:val="8"/>
                <w:rFonts w:hint="eastAsia" w:ascii="宋体" w:hAnsi="宋体" w:eastAsia="宋体" w:cs="宋体"/>
                <w:b w:val="0"/>
                <w:bCs/>
                <w:color w:val="404040"/>
                <w:sz w:val="24"/>
                <w:szCs w:val="24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404040"/>
                <w:sz w:val="24"/>
                <w:szCs w:val="24"/>
                <w:lang w:eastAsia="zh-CN"/>
              </w:rPr>
              <w:t>同比增长(%)</w:t>
            </w:r>
          </w:p>
        </w:tc>
        <w:tc>
          <w:tcPr>
            <w:tcW w:w="19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Style w:val="8"/>
                <w:rFonts w:hint="eastAsia" w:ascii="宋体" w:hAnsi="宋体" w:eastAsia="宋体" w:cs="宋体"/>
                <w:b w:val="0"/>
                <w:bCs/>
                <w:color w:val="404040"/>
                <w:sz w:val="24"/>
                <w:szCs w:val="24"/>
                <w:lang w:eastAsia="zh-CN"/>
              </w:rPr>
            </w:pPr>
            <w:r>
              <w:rPr>
                <w:rStyle w:val="8"/>
                <w:rFonts w:hint="eastAsia" w:ascii="宋体" w:hAnsi="宋体" w:cs="宋体"/>
                <w:b w:val="0"/>
                <w:bCs/>
                <w:color w:val="404040"/>
                <w:sz w:val="24"/>
                <w:szCs w:val="24"/>
                <w:lang w:eastAsia="zh-CN"/>
              </w:rPr>
              <w:t>2024年</w:t>
            </w:r>
            <w:r>
              <w:rPr>
                <w:rStyle w:val="8"/>
                <w:rFonts w:hint="default" w:ascii="宋体" w:hAnsi="宋体" w:cs="宋体"/>
                <w:b w:val="0"/>
                <w:bCs/>
                <w:color w:val="404040"/>
                <w:sz w:val="24"/>
                <w:szCs w:val="24"/>
                <w:lang w:val="en" w:eastAsia="zh-CN"/>
              </w:rPr>
              <w:t>1-3季</w:t>
            </w:r>
            <w:r>
              <w:rPr>
                <w:rStyle w:val="8"/>
                <w:rFonts w:hint="eastAsia" w:ascii="宋体" w:hAnsi="宋体" w:cs="宋体"/>
                <w:b w:val="0"/>
                <w:bCs/>
                <w:color w:val="404040"/>
                <w:sz w:val="24"/>
                <w:szCs w:val="24"/>
                <w:lang w:eastAsia="zh-CN"/>
              </w:rPr>
              <w:t>度</w:t>
            </w:r>
          </w:p>
        </w:tc>
        <w:tc>
          <w:tcPr>
            <w:tcW w:w="21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Style w:val="8"/>
                <w:rFonts w:hint="eastAsia" w:ascii="宋体" w:hAnsi="宋体" w:eastAsia="宋体" w:cs="宋体"/>
                <w:b w:val="0"/>
                <w:bCs/>
                <w:color w:val="404040"/>
                <w:sz w:val="24"/>
                <w:szCs w:val="24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color w:val="404040"/>
                <w:sz w:val="24"/>
                <w:szCs w:val="24"/>
                <w:lang w:eastAsia="zh-CN"/>
              </w:rPr>
              <w:t>同比增长(%)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</w:trPr>
        <w:tc>
          <w:tcPr>
            <w:tcW w:w="5045" w:type="dxa"/>
            <w:tcBorders>
              <w:top w:val="single" w:color="auto" w:sz="2" w:space="0"/>
              <w:left w:val="nil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40" w:firstLineChars="100"/>
              <w:jc w:val="left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人均消费支出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2194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22339 </w:t>
            </w:r>
          </w:p>
        </w:tc>
        <w:tc>
          <w:tcPr>
            <w:tcW w:w="2193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1974" w:type="dxa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26605 </w:t>
            </w:r>
          </w:p>
        </w:tc>
        <w:tc>
          <w:tcPr>
            <w:tcW w:w="2194" w:type="dxa"/>
            <w:tcBorders>
              <w:top w:val="single" w:color="auto" w:sz="2" w:space="0"/>
              <w:left w:val="single" w:color="auto" w:sz="2" w:space="0"/>
              <w:bottom w:val="nil"/>
              <w:right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</w:trPr>
        <w:tc>
          <w:tcPr>
            <w:tcW w:w="5045" w:type="dxa"/>
            <w:tcBorders>
              <w:top w:val="nil"/>
              <w:left w:val="nil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食品烟酒</w:t>
            </w:r>
          </w:p>
        </w:tc>
        <w:tc>
          <w:tcPr>
            <w:tcW w:w="2194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5625 </w:t>
            </w:r>
          </w:p>
        </w:tc>
        <w:tc>
          <w:tcPr>
            <w:tcW w:w="2193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 </w:t>
            </w:r>
          </w:p>
        </w:tc>
        <w:tc>
          <w:tcPr>
            <w:tcW w:w="1974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6311 </w:t>
            </w:r>
          </w:p>
        </w:tc>
        <w:tc>
          <w:tcPr>
            <w:tcW w:w="219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</w:trPr>
        <w:tc>
          <w:tcPr>
            <w:tcW w:w="5045" w:type="dxa"/>
            <w:tcBorders>
              <w:top w:val="nil"/>
              <w:left w:val="nil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衣着</w:t>
            </w:r>
          </w:p>
        </w:tc>
        <w:tc>
          <w:tcPr>
            <w:tcW w:w="2194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1061 </w:t>
            </w:r>
          </w:p>
        </w:tc>
        <w:tc>
          <w:tcPr>
            <w:tcW w:w="2193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-8.8 </w:t>
            </w:r>
          </w:p>
        </w:tc>
        <w:tc>
          <w:tcPr>
            <w:tcW w:w="1974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1340 </w:t>
            </w:r>
          </w:p>
        </w:tc>
        <w:tc>
          <w:tcPr>
            <w:tcW w:w="219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-10.1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</w:trPr>
        <w:tc>
          <w:tcPr>
            <w:tcW w:w="5045" w:type="dxa"/>
            <w:tcBorders>
              <w:top w:val="nil"/>
              <w:left w:val="nil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居住</w:t>
            </w:r>
          </w:p>
        </w:tc>
        <w:tc>
          <w:tcPr>
            <w:tcW w:w="2194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6174 </w:t>
            </w:r>
          </w:p>
        </w:tc>
        <w:tc>
          <w:tcPr>
            <w:tcW w:w="2193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-3.8 </w:t>
            </w:r>
          </w:p>
        </w:tc>
        <w:tc>
          <w:tcPr>
            <w:tcW w:w="1974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7511 </w:t>
            </w:r>
          </w:p>
        </w:tc>
        <w:tc>
          <w:tcPr>
            <w:tcW w:w="219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</w:trPr>
        <w:tc>
          <w:tcPr>
            <w:tcW w:w="5045" w:type="dxa"/>
            <w:tcBorders>
              <w:top w:val="nil"/>
              <w:left w:val="nil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生活用品及服务</w:t>
            </w:r>
          </w:p>
        </w:tc>
        <w:tc>
          <w:tcPr>
            <w:tcW w:w="2194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1196 </w:t>
            </w:r>
          </w:p>
        </w:tc>
        <w:tc>
          <w:tcPr>
            <w:tcW w:w="2193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 </w:t>
            </w:r>
          </w:p>
        </w:tc>
        <w:tc>
          <w:tcPr>
            <w:tcW w:w="1974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1458 </w:t>
            </w:r>
          </w:p>
        </w:tc>
        <w:tc>
          <w:tcPr>
            <w:tcW w:w="219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</w:trPr>
        <w:tc>
          <w:tcPr>
            <w:tcW w:w="5045" w:type="dxa"/>
            <w:tcBorders>
              <w:top w:val="nil"/>
              <w:left w:val="nil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交通和通信</w:t>
            </w:r>
          </w:p>
        </w:tc>
        <w:tc>
          <w:tcPr>
            <w:tcW w:w="2194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3155 </w:t>
            </w:r>
          </w:p>
        </w:tc>
        <w:tc>
          <w:tcPr>
            <w:tcW w:w="2193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-3.0 </w:t>
            </w:r>
          </w:p>
        </w:tc>
        <w:tc>
          <w:tcPr>
            <w:tcW w:w="1974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3773 </w:t>
            </w:r>
          </w:p>
        </w:tc>
        <w:tc>
          <w:tcPr>
            <w:tcW w:w="219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-5.7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</w:trPr>
        <w:tc>
          <w:tcPr>
            <w:tcW w:w="5045" w:type="dxa"/>
            <w:tcBorders>
              <w:top w:val="nil"/>
              <w:left w:val="nil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教育文化娱乐</w:t>
            </w:r>
          </w:p>
        </w:tc>
        <w:tc>
          <w:tcPr>
            <w:tcW w:w="2194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1823 </w:t>
            </w:r>
          </w:p>
        </w:tc>
        <w:tc>
          <w:tcPr>
            <w:tcW w:w="2193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17.5 </w:t>
            </w:r>
          </w:p>
        </w:tc>
        <w:tc>
          <w:tcPr>
            <w:tcW w:w="1974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2547 </w:t>
            </w:r>
          </w:p>
        </w:tc>
        <w:tc>
          <w:tcPr>
            <w:tcW w:w="219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</w:trPr>
        <w:tc>
          <w:tcPr>
            <w:tcW w:w="5045" w:type="dxa"/>
            <w:tcBorders>
              <w:top w:val="nil"/>
              <w:left w:val="nil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医疗保健</w:t>
            </w:r>
          </w:p>
        </w:tc>
        <w:tc>
          <w:tcPr>
            <w:tcW w:w="2194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2669 </w:t>
            </w:r>
          </w:p>
        </w:tc>
        <w:tc>
          <w:tcPr>
            <w:tcW w:w="2193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24.4 </w:t>
            </w:r>
          </w:p>
        </w:tc>
        <w:tc>
          <w:tcPr>
            <w:tcW w:w="1974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2814 </w:t>
            </w:r>
          </w:p>
        </w:tc>
        <w:tc>
          <w:tcPr>
            <w:tcW w:w="2194" w:type="dxa"/>
            <w:tcBorders>
              <w:top w:val="nil"/>
              <w:left w:val="single" w:color="auto" w:sz="2" w:space="0"/>
              <w:bottom w:val="nil"/>
              <w:right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</w:trPr>
        <w:tc>
          <w:tcPr>
            <w:tcW w:w="5045" w:type="dxa"/>
            <w:tcBorders>
              <w:top w:val="nil"/>
              <w:left w:val="nil"/>
              <w:bottom w:val="single" w:color="auto" w:sz="12" w:space="0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jc w:val="left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其他用品及服务</w:t>
            </w:r>
          </w:p>
        </w:tc>
        <w:tc>
          <w:tcPr>
            <w:tcW w:w="2194" w:type="dxa"/>
            <w:tcBorders>
              <w:top w:val="nil"/>
              <w:left w:val="single" w:color="auto" w:sz="2" w:space="0"/>
              <w:bottom w:val="single" w:color="auto" w:sz="12" w:space="0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636 </w:t>
            </w:r>
          </w:p>
        </w:tc>
        <w:tc>
          <w:tcPr>
            <w:tcW w:w="2193" w:type="dxa"/>
            <w:tcBorders>
              <w:top w:val="nil"/>
              <w:left w:val="single" w:color="auto" w:sz="2" w:space="0"/>
              <w:bottom w:val="single" w:color="auto" w:sz="12" w:space="0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-6.1 </w:t>
            </w:r>
          </w:p>
        </w:tc>
        <w:tc>
          <w:tcPr>
            <w:tcW w:w="1974" w:type="dxa"/>
            <w:tcBorders>
              <w:top w:val="nil"/>
              <w:left w:val="single" w:color="auto" w:sz="2" w:space="0"/>
              <w:bottom w:val="single" w:color="auto" w:sz="12" w:space="0"/>
              <w:right w:val="single" w:color="auto" w:sz="2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853 </w:t>
            </w:r>
          </w:p>
        </w:tc>
        <w:tc>
          <w:tcPr>
            <w:tcW w:w="2194" w:type="dxa"/>
            <w:tcBorders>
              <w:top w:val="nil"/>
              <w:left w:val="single" w:color="auto" w:sz="2" w:space="0"/>
              <w:bottom w:val="single" w:color="auto" w:sz="12" w:space="0"/>
              <w:right w:val="nil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-9.5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outlineLvl w:val="9"/>
        <w:rPr>
          <w:rFonts w:hint="eastAsia" w:ascii="楷体_GB2312" w:hAnsi="宋体" w:eastAsia="楷体_GB2312" w:cs="宋体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kern w:val="0"/>
          <w:sz w:val="24"/>
          <w:szCs w:val="24"/>
        </w:rPr>
        <w:t>注释：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default" w:ascii="楷体_GB2312" w:hAnsi="宋体" w:eastAsia="楷体_GB2312" w:cs="宋体"/>
          <w:b w:val="0"/>
          <w:bCs/>
          <w:kern w:val="0"/>
          <w:sz w:val="24"/>
          <w:szCs w:val="24"/>
          <w:lang w:val="en" w:eastAsia="zh-CN" w:bidi="ar-SA"/>
        </w:rPr>
      </w:pPr>
      <w:r>
        <w:rPr>
          <w:rFonts w:hint="eastAsia" w:hAnsi="宋体" w:eastAsia="楷体_GB2312" w:cs="宋体"/>
          <w:b/>
          <w:kern w:val="0"/>
          <w:sz w:val="24"/>
          <w:szCs w:val="24"/>
          <w:lang w:val="en-US" w:eastAsia="zh-CN" w:bidi="ar-SA"/>
        </w:rPr>
        <w:t>1、</w:t>
      </w:r>
      <w:r>
        <w:rPr>
          <w:rFonts w:hint="default" w:ascii="楷体_GB2312" w:hAnsi="宋体" w:eastAsia="楷体_GB2312" w:cs="宋体"/>
          <w:b/>
          <w:kern w:val="0"/>
          <w:sz w:val="24"/>
          <w:szCs w:val="24"/>
          <w:lang w:val="en" w:eastAsia="zh-CN" w:bidi="ar-SA"/>
        </w:rPr>
        <w:t>统计范围：</w:t>
      </w:r>
      <w:r>
        <w:rPr>
          <w:rFonts w:hint="default" w:ascii="楷体_GB2312" w:hAnsi="宋体" w:eastAsia="楷体_GB2312" w:cs="宋体"/>
          <w:b w:val="0"/>
          <w:bCs/>
          <w:kern w:val="0"/>
          <w:sz w:val="24"/>
          <w:szCs w:val="24"/>
          <w:lang w:val="en" w:eastAsia="zh-CN" w:bidi="ar-SA"/>
        </w:rPr>
        <w:t>住户调查对象为中华人民共和国境内的住户，既包括城镇住户，也包括农村住户；既包括以家庭形式居住的户，也包括以集体形式居住的户。调查对象按照常住地确定，既包括户口在本地的住户，也包括户口在外地、但在本地居住一定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default" w:ascii="楷体_GB2312" w:hAnsi="宋体" w:eastAsia="楷体_GB2312" w:cs="宋体"/>
          <w:b w:val="0"/>
          <w:bCs/>
          <w:kern w:val="0"/>
          <w:sz w:val="24"/>
          <w:szCs w:val="24"/>
          <w:lang w:val="en" w:eastAsia="zh-CN" w:bidi="ar-SA"/>
        </w:rPr>
      </w:pPr>
      <w:r>
        <w:rPr>
          <w:rFonts w:hint="default" w:ascii="楷体_GB2312" w:hAnsi="宋体" w:eastAsia="楷体_GB2312" w:cs="宋体"/>
          <w:b w:val="0"/>
          <w:bCs/>
          <w:kern w:val="0"/>
          <w:sz w:val="24"/>
          <w:szCs w:val="24"/>
          <w:lang w:val="en" w:eastAsia="zh-CN" w:bidi="ar-SA"/>
        </w:rPr>
        <w:t>间（通常为半年）以上的住户。城镇范围为《统计上划分城乡的规定》中被界定为“城镇”的区域，农村范围为《统计上划分城乡的规定》中被界定为“乡村”的区域。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textAlignment w:val="auto"/>
        <w:outlineLvl w:val="9"/>
        <w:rPr>
          <w:rFonts w:hint="eastAsia" w:ascii="楷体_GB2312" w:hAnsi="宋体" w:eastAsia="楷体_GB2312" w:cs="宋体"/>
          <w:b w:val="0"/>
          <w:bCs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b/>
          <w:kern w:val="0"/>
          <w:sz w:val="24"/>
          <w:szCs w:val="24"/>
        </w:rPr>
        <w:t>2、采集渠道：</w:t>
      </w:r>
      <w:r>
        <w:rPr>
          <w:rFonts w:hint="eastAsia" w:ascii="楷体_GB2312" w:hAnsi="宋体" w:eastAsia="楷体_GB2312" w:cs="宋体"/>
          <w:b w:val="0"/>
          <w:bCs/>
          <w:kern w:val="0"/>
          <w:sz w:val="24"/>
          <w:szCs w:val="24"/>
        </w:rPr>
        <w:t>住户调查采用日记账和问卷调查相结合的方式采集基础数据。其中，居民现金收入与支出、实物收入与支出等内容主要使用记账方式采集。住户成员及劳动力从业情况、住房和耐用品拥有量情况、家庭经营和生产投资情况、社区基本情况及其他民生状况等资料使用问卷调查方式采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outlineLvl w:val="9"/>
        <w:rPr>
          <w:rFonts w:hint="eastAsia"/>
          <w:b/>
          <w:color w:val="0000FF"/>
          <w:sz w:val="24"/>
          <w:szCs w:val="24"/>
          <w:lang w:eastAsia="zh-CN"/>
        </w:rPr>
      </w:pPr>
      <w:r>
        <w:rPr>
          <w:rFonts w:hint="eastAsia" w:ascii="楷体_GB2312" w:hAnsi="宋体" w:eastAsia="楷体_GB2312" w:cs="宋体"/>
          <w:b/>
          <w:kern w:val="0"/>
          <w:sz w:val="24"/>
          <w:szCs w:val="24"/>
          <w:lang w:val="en-US" w:eastAsia="zh-CN"/>
        </w:rPr>
        <w:t>3、</w:t>
      </w:r>
      <w:r>
        <w:rPr>
          <w:rFonts w:hint="eastAsia" w:ascii="楷体_GB2312" w:hAnsi="宋体" w:eastAsia="楷体_GB2312" w:cs="宋体"/>
          <w:b/>
          <w:kern w:val="0"/>
          <w:sz w:val="24"/>
          <w:szCs w:val="24"/>
        </w:rPr>
        <w:t>主要统计指标解释：</w:t>
      </w:r>
      <w:r>
        <w:rPr>
          <w:rFonts w:hint="eastAsia" w:ascii="楷体_GB2312" w:hAnsi="宋体" w:eastAsia="楷体_GB2312" w:cs="宋体"/>
          <w:b w:val="0"/>
          <w:bCs/>
          <w:kern w:val="0"/>
          <w:sz w:val="24"/>
          <w:szCs w:val="24"/>
        </w:rPr>
        <w:t>消费支出：指住户用于满足家庭日常生活消费需要的全部支出，包括用于消费品的支出和用于服务性消费的支出。根据用途不同，消费支出可划分为食品烟酒、衣着、居住、生活用品及服务、交通通信、教育文化娱乐、医疗保健、其他用品及服务八大类。食品烟酒：指用于各种食品和烟草、酒类的支出。衣着：指与居民穿着有关的支出，包括服装、服装材料、鞋类、其他衣类及配件、衣着相关加工服务的支出。居住：指与居住相关的支出，包括房租、水、电、燃料、物业管理等方面的支出，也包括自有住房折算租金。生活用品及服务：指家庭及个人的各类生活品及家庭服务。包括家具及室内装饰品、家用器具、家用纺织品、家庭日用杂品、个人用品和家庭服务。交通通信：指用于交通和通信工具及相关的各种服务费、维修费和车辆保险等支出。教育文化娱乐：指用于教育和文化娱乐方面的支出。医疗保健：指用于医疗和保健的药品、用品和服务的总费用。包括医疗器具及药品，以及医疗服务。其他用品及服务：指无法直接归入上述各类支出的其他用品和服务支出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outlineLvl w:val="9"/>
        <w:rPr>
          <w:rFonts w:hint="eastAsia"/>
          <w:lang w:eastAsia="zh-CN"/>
        </w:rPr>
      </w:pPr>
    </w:p>
    <w:p>
      <w:pPr>
        <w:pStyle w:val="2"/>
        <w:rPr>
          <w:rFonts w:hint="eastAsia"/>
          <w:lang w:val="en-US" w:eastAsia="zh-CN"/>
        </w:rPr>
      </w:pPr>
    </w:p>
    <w:sectPr>
      <w:headerReference r:id="rId3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">
    <w:altName w:val="Quicksand Ligh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45EF1"/>
    <w:rsid w:val="01DE4569"/>
    <w:rsid w:val="01EA0DDF"/>
    <w:rsid w:val="021113C5"/>
    <w:rsid w:val="02383BF7"/>
    <w:rsid w:val="04B3291D"/>
    <w:rsid w:val="05144DE3"/>
    <w:rsid w:val="056063CD"/>
    <w:rsid w:val="0638629E"/>
    <w:rsid w:val="065A435E"/>
    <w:rsid w:val="0693162F"/>
    <w:rsid w:val="06BD48AA"/>
    <w:rsid w:val="08FE4A5D"/>
    <w:rsid w:val="09350139"/>
    <w:rsid w:val="0979482C"/>
    <w:rsid w:val="09B712A8"/>
    <w:rsid w:val="0AC36A44"/>
    <w:rsid w:val="0B55531A"/>
    <w:rsid w:val="0B7B2A58"/>
    <w:rsid w:val="0BD8075B"/>
    <w:rsid w:val="0BFA39C5"/>
    <w:rsid w:val="0C683C8D"/>
    <w:rsid w:val="0CA36702"/>
    <w:rsid w:val="0D5F0FB0"/>
    <w:rsid w:val="0E4220D5"/>
    <w:rsid w:val="0E927B34"/>
    <w:rsid w:val="0EDD0097"/>
    <w:rsid w:val="103E310E"/>
    <w:rsid w:val="118634F1"/>
    <w:rsid w:val="12917D5A"/>
    <w:rsid w:val="13BA65BA"/>
    <w:rsid w:val="13C96186"/>
    <w:rsid w:val="13DB96C9"/>
    <w:rsid w:val="141623DE"/>
    <w:rsid w:val="163459DA"/>
    <w:rsid w:val="169355EC"/>
    <w:rsid w:val="172B5C42"/>
    <w:rsid w:val="19715261"/>
    <w:rsid w:val="1A21665C"/>
    <w:rsid w:val="1AD30A1E"/>
    <w:rsid w:val="1AD8402B"/>
    <w:rsid w:val="1ADF51BC"/>
    <w:rsid w:val="1B0B13DC"/>
    <w:rsid w:val="1B122FB6"/>
    <w:rsid w:val="1BCD0481"/>
    <w:rsid w:val="1C0E5505"/>
    <w:rsid w:val="1C276350"/>
    <w:rsid w:val="1C56369B"/>
    <w:rsid w:val="1CD46D9A"/>
    <w:rsid w:val="1D8D5B77"/>
    <w:rsid w:val="1D98136E"/>
    <w:rsid w:val="1DFB1785"/>
    <w:rsid w:val="1EB84662"/>
    <w:rsid w:val="1FFF4CB5"/>
    <w:rsid w:val="21382369"/>
    <w:rsid w:val="21784A05"/>
    <w:rsid w:val="22DB4243"/>
    <w:rsid w:val="23543D99"/>
    <w:rsid w:val="236F1C12"/>
    <w:rsid w:val="248C2EED"/>
    <w:rsid w:val="256C6363"/>
    <w:rsid w:val="25A15611"/>
    <w:rsid w:val="25E84811"/>
    <w:rsid w:val="26A37460"/>
    <w:rsid w:val="27174A9F"/>
    <w:rsid w:val="285E57AA"/>
    <w:rsid w:val="28DD1ED1"/>
    <w:rsid w:val="29303B10"/>
    <w:rsid w:val="29763C32"/>
    <w:rsid w:val="29AD74D8"/>
    <w:rsid w:val="29FB5780"/>
    <w:rsid w:val="2A94053E"/>
    <w:rsid w:val="2BEF4705"/>
    <w:rsid w:val="2C644628"/>
    <w:rsid w:val="2C6C1E73"/>
    <w:rsid w:val="2D076D14"/>
    <w:rsid w:val="2E29008C"/>
    <w:rsid w:val="2E2B4EE6"/>
    <w:rsid w:val="2E6C7B7D"/>
    <w:rsid w:val="2EC71D67"/>
    <w:rsid w:val="2EFD0F86"/>
    <w:rsid w:val="2F457D92"/>
    <w:rsid w:val="2F5B14A5"/>
    <w:rsid w:val="2F8D73F0"/>
    <w:rsid w:val="2FBDC9F1"/>
    <w:rsid w:val="315F1FAD"/>
    <w:rsid w:val="31767B07"/>
    <w:rsid w:val="32326294"/>
    <w:rsid w:val="32812E6E"/>
    <w:rsid w:val="32A7716C"/>
    <w:rsid w:val="33661F81"/>
    <w:rsid w:val="338177D2"/>
    <w:rsid w:val="33EA3D20"/>
    <w:rsid w:val="349C766D"/>
    <w:rsid w:val="34C40933"/>
    <w:rsid w:val="352C3131"/>
    <w:rsid w:val="36381881"/>
    <w:rsid w:val="364D3747"/>
    <w:rsid w:val="368A245A"/>
    <w:rsid w:val="36B82B10"/>
    <w:rsid w:val="36BE5A08"/>
    <w:rsid w:val="38AC4A90"/>
    <w:rsid w:val="392A6086"/>
    <w:rsid w:val="393A7BCB"/>
    <w:rsid w:val="39C8393A"/>
    <w:rsid w:val="3AEE30EC"/>
    <w:rsid w:val="3B4C203F"/>
    <w:rsid w:val="3B505972"/>
    <w:rsid w:val="3C094926"/>
    <w:rsid w:val="3CA06950"/>
    <w:rsid w:val="3CD34D5E"/>
    <w:rsid w:val="3DF66AB0"/>
    <w:rsid w:val="3E5544D7"/>
    <w:rsid w:val="3ED06649"/>
    <w:rsid w:val="3FA684FA"/>
    <w:rsid w:val="3FAB96BE"/>
    <w:rsid w:val="3FDB5DF1"/>
    <w:rsid w:val="3FDED793"/>
    <w:rsid w:val="3FDF4110"/>
    <w:rsid w:val="3FFE10C8"/>
    <w:rsid w:val="401D61C0"/>
    <w:rsid w:val="414B607C"/>
    <w:rsid w:val="41A3549E"/>
    <w:rsid w:val="426042E3"/>
    <w:rsid w:val="42D90AF2"/>
    <w:rsid w:val="440C601A"/>
    <w:rsid w:val="441A04D4"/>
    <w:rsid w:val="46216826"/>
    <w:rsid w:val="475234D8"/>
    <w:rsid w:val="476A13E8"/>
    <w:rsid w:val="47790412"/>
    <w:rsid w:val="47A86E6D"/>
    <w:rsid w:val="47E027CA"/>
    <w:rsid w:val="47FEAB4D"/>
    <w:rsid w:val="489B5BDB"/>
    <w:rsid w:val="4937785D"/>
    <w:rsid w:val="4AE90A8D"/>
    <w:rsid w:val="4B3D5C27"/>
    <w:rsid w:val="4B4551F2"/>
    <w:rsid w:val="4C2220D4"/>
    <w:rsid w:val="4C6D69D1"/>
    <w:rsid w:val="4CEB2530"/>
    <w:rsid w:val="4D8016E5"/>
    <w:rsid w:val="4D863A49"/>
    <w:rsid w:val="4D9327C0"/>
    <w:rsid w:val="4DC718E7"/>
    <w:rsid w:val="4DD01001"/>
    <w:rsid w:val="4E665BA6"/>
    <w:rsid w:val="4F024081"/>
    <w:rsid w:val="4F560168"/>
    <w:rsid w:val="4F5746E4"/>
    <w:rsid w:val="4F6D24BE"/>
    <w:rsid w:val="50D8657E"/>
    <w:rsid w:val="51512E17"/>
    <w:rsid w:val="526977BB"/>
    <w:rsid w:val="52FB1BC2"/>
    <w:rsid w:val="53EF48C2"/>
    <w:rsid w:val="53F57A86"/>
    <w:rsid w:val="54895C40"/>
    <w:rsid w:val="54F42AFF"/>
    <w:rsid w:val="55600A1D"/>
    <w:rsid w:val="5567A25D"/>
    <w:rsid w:val="55B05FB6"/>
    <w:rsid w:val="560D74DF"/>
    <w:rsid w:val="567412A4"/>
    <w:rsid w:val="568A0C6F"/>
    <w:rsid w:val="56BB328C"/>
    <w:rsid w:val="57370DD3"/>
    <w:rsid w:val="57605D7D"/>
    <w:rsid w:val="57B35CE2"/>
    <w:rsid w:val="58913AC3"/>
    <w:rsid w:val="58E67C05"/>
    <w:rsid w:val="590F83E0"/>
    <w:rsid w:val="59375F5C"/>
    <w:rsid w:val="59630F03"/>
    <w:rsid w:val="597F8F05"/>
    <w:rsid w:val="5A055849"/>
    <w:rsid w:val="5A271408"/>
    <w:rsid w:val="5B73140F"/>
    <w:rsid w:val="5C9300D0"/>
    <w:rsid w:val="5CB32703"/>
    <w:rsid w:val="5CD35BE5"/>
    <w:rsid w:val="5D0004C6"/>
    <w:rsid w:val="5D4E0726"/>
    <w:rsid w:val="5FC37593"/>
    <w:rsid w:val="5FDF0B1C"/>
    <w:rsid w:val="60FA610A"/>
    <w:rsid w:val="613D007B"/>
    <w:rsid w:val="61C65AFE"/>
    <w:rsid w:val="62578C3C"/>
    <w:rsid w:val="62612361"/>
    <w:rsid w:val="639114E6"/>
    <w:rsid w:val="65797765"/>
    <w:rsid w:val="663F737A"/>
    <w:rsid w:val="675F8F65"/>
    <w:rsid w:val="67CB7260"/>
    <w:rsid w:val="67FD4902"/>
    <w:rsid w:val="687C1C1C"/>
    <w:rsid w:val="699E7C2F"/>
    <w:rsid w:val="69F16919"/>
    <w:rsid w:val="6A294847"/>
    <w:rsid w:val="6A65276C"/>
    <w:rsid w:val="6AC47901"/>
    <w:rsid w:val="6AFF3DA2"/>
    <w:rsid w:val="6B320384"/>
    <w:rsid w:val="6C02332D"/>
    <w:rsid w:val="6C0F7A99"/>
    <w:rsid w:val="6C257DC9"/>
    <w:rsid w:val="6C4B421F"/>
    <w:rsid w:val="6D5A4B7F"/>
    <w:rsid w:val="6EA39D6C"/>
    <w:rsid w:val="6F9D743A"/>
    <w:rsid w:val="6FBF1FE6"/>
    <w:rsid w:val="6FC7354D"/>
    <w:rsid w:val="6FFEDE62"/>
    <w:rsid w:val="6FFF682D"/>
    <w:rsid w:val="71080D89"/>
    <w:rsid w:val="7175080B"/>
    <w:rsid w:val="7186F4B4"/>
    <w:rsid w:val="726A1098"/>
    <w:rsid w:val="737B2704"/>
    <w:rsid w:val="73A6F0C8"/>
    <w:rsid w:val="73CC0211"/>
    <w:rsid w:val="73EFABBB"/>
    <w:rsid w:val="741F23A4"/>
    <w:rsid w:val="74501C96"/>
    <w:rsid w:val="75E61BEE"/>
    <w:rsid w:val="75EE766E"/>
    <w:rsid w:val="75F745C8"/>
    <w:rsid w:val="7607511D"/>
    <w:rsid w:val="765833C3"/>
    <w:rsid w:val="77166765"/>
    <w:rsid w:val="7720627A"/>
    <w:rsid w:val="778962BC"/>
    <w:rsid w:val="779A77AC"/>
    <w:rsid w:val="77E9D9C2"/>
    <w:rsid w:val="77F30C7B"/>
    <w:rsid w:val="78B553DE"/>
    <w:rsid w:val="78E85C94"/>
    <w:rsid w:val="7917ABEF"/>
    <w:rsid w:val="791B108A"/>
    <w:rsid w:val="797D4315"/>
    <w:rsid w:val="7A100E94"/>
    <w:rsid w:val="7AC2683B"/>
    <w:rsid w:val="7B423B59"/>
    <w:rsid w:val="7B6FE944"/>
    <w:rsid w:val="7BA3EC91"/>
    <w:rsid w:val="7BE787CF"/>
    <w:rsid w:val="7C58388D"/>
    <w:rsid w:val="7C7A5981"/>
    <w:rsid w:val="7CF5D5DB"/>
    <w:rsid w:val="7D7EC8CD"/>
    <w:rsid w:val="7E282AF5"/>
    <w:rsid w:val="7E3D82B6"/>
    <w:rsid w:val="7E7F0693"/>
    <w:rsid w:val="7EBE223A"/>
    <w:rsid w:val="7ED92472"/>
    <w:rsid w:val="7F1879BC"/>
    <w:rsid w:val="7F3A5975"/>
    <w:rsid w:val="7FE5E5AE"/>
    <w:rsid w:val="7FED97DC"/>
    <w:rsid w:val="81EB3C3A"/>
    <w:rsid w:val="8CDA845A"/>
    <w:rsid w:val="99B77EE0"/>
    <w:rsid w:val="9FED37BA"/>
    <w:rsid w:val="B1E636EE"/>
    <w:rsid w:val="BDF6F2E2"/>
    <w:rsid w:val="BF69E885"/>
    <w:rsid w:val="BFB650B6"/>
    <w:rsid w:val="C6FCE371"/>
    <w:rsid w:val="CD3B0D55"/>
    <w:rsid w:val="CEE987AF"/>
    <w:rsid w:val="D57D44D0"/>
    <w:rsid w:val="D7EE2A06"/>
    <w:rsid w:val="DBB74874"/>
    <w:rsid w:val="DDF6AF67"/>
    <w:rsid w:val="DF7BDF92"/>
    <w:rsid w:val="DF8DE048"/>
    <w:rsid w:val="DFAB23FE"/>
    <w:rsid w:val="DFBFE4DB"/>
    <w:rsid w:val="DFFB9D36"/>
    <w:rsid w:val="E7F7B4E4"/>
    <w:rsid w:val="E7FDA2F2"/>
    <w:rsid w:val="EA6790F0"/>
    <w:rsid w:val="EBF5BF5A"/>
    <w:rsid w:val="EDFE27A9"/>
    <w:rsid w:val="EEFF3E89"/>
    <w:rsid w:val="EF7D7BB4"/>
    <w:rsid w:val="F047853D"/>
    <w:rsid w:val="F2ECBDBB"/>
    <w:rsid w:val="F36A8101"/>
    <w:rsid w:val="F5FF6C02"/>
    <w:rsid w:val="F69F3012"/>
    <w:rsid w:val="F6FE7D1F"/>
    <w:rsid w:val="F7BFE11D"/>
    <w:rsid w:val="FBDF6E2B"/>
    <w:rsid w:val="FE3F8DB9"/>
    <w:rsid w:val="FFD83BD6"/>
    <w:rsid w:val="FFDB47DB"/>
    <w:rsid w:val="FFDFD5D3"/>
    <w:rsid w:val="FFFD938C"/>
    <w:rsid w:val="FFFFD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/>
    </w:rPr>
  </w:style>
  <w:style w:type="paragraph" w:styleId="3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-SA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文字 Char"/>
    <w:basedOn w:val="7"/>
    <w:link w:val="3"/>
    <w:qFormat/>
    <w:uiPriority w:val="0"/>
    <w:rPr>
      <w:rFonts w:ascii="??" w:hAnsi="??" w:eastAsia="宋体" w:cs="??"/>
      <w:sz w:val="32"/>
      <w:szCs w:val="21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1982</Words>
  <Characters>2544</Characters>
  <Lines>0</Lines>
  <Paragraphs>0</Paragraphs>
  <TotalTime>1</TotalTime>
  <ScaleCrop>false</ScaleCrop>
  <LinksUpToDate>false</LinksUpToDate>
  <CharactersWithSpaces>2655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2020-08-09T09:20:00Z</dcterms:created>
  <dc:creator>NTKO</dc:creator>
  <cp:lastModifiedBy>zhk</cp:lastModifiedBy>
  <cp:lastPrinted>2024-07-31T02:28:00Z</cp:lastPrinted>
  <dcterms:modified xsi:type="dcterms:W3CDTF">2024-10-30T10:45:21Z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