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rPr>
      </w:pPr>
      <w:bookmarkStart w:id="0" w:name="_GoBack"/>
      <w:r>
        <w:rPr>
          <w:rFonts w:hint="eastAsia"/>
          <w:b/>
          <w:color w:val="0000FF"/>
          <w:sz w:val="36"/>
          <w:szCs w:val="36"/>
          <w:lang w:eastAsia="zh-CN"/>
        </w:rPr>
        <w:t>农业统计数据：2024年</w:t>
      </w:r>
      <w:r>
        <w:rPr>
          <w:rFonts w:hint="default"/>
          <w:b/>
          <w:color w:val="0000FF"/>
          <w:sz w:val="36"/>
          <w:szCs w:val="36"/>
          <w:lang w:val="en" w:eastAsia="zh-CN"/>
        </w:rPr>
        <w:t>1-3季</w:t>
      </w:r>
      <w:r>
        <w:rPr>
          <w:rFonts w:hint="eastAsia"/>
          <w:b/>
          <w:color w:val="0000FF"/>
          <w:sz w:val="36"/>
          <w:szCs w:val="36"/>
          <w:lang w:eastAsia="zh-CN"/>
        </w:rPr>
        <w:t>度</w:t>
      </w:r>
      <w:r>
        <w:rPr>
          <w:rFonts w:hint="eastAsia"/>
          <w:b/>
          <w:color w:val="0000FF"/>
          <w:sz w:val="36"/>
          <w:szCs w:val="36"/>
        </w:rPr>
        <w:t>农林牧渔业生产情况</w:t>
      </w:r>
    </w:p>
    <w:bookmarkEnd w:id="0"/>
    <w:tbl>
      <w:tblPr>
        <w:tblStyle w:val="6"/>
        <w:tblW w:w="13454" w:type="dxa"/>
        <w:jc w:val="center"/>
        <w:tblBorders>
          <w:top w:val="single" w:color="auto" w:sz="12"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5523"/>
        <w:gridCol w:w="2886"/>
        <w:gridCol w:w="2568"/>
        <w:gridCol w:w="2477"/>
      </w:tblGrid>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716" w:hRule="exact"/>
          <w:jc w:val="center"/>
        </w:trPr>
        <w:tc>
          <w:tcPr>
            <w:tcW w:w="5523"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ascii="宋体" w:hAnsi="宋体" w:cs="宋体"/>
                <w:kern w:val="0"/>
                <w:sz w:val="24"/>
              </w:rPr>
            </w:pPr>
            <w:r>
              <w:rPr>
                <w:rFonts w:hint="eastAsia" w:ascii="宋体" w:hAnsi="宋体" w:cs="宋体"/>
                <w:kern w:val="0"/>
                <w:sz w:val="24"/>
              </w:rPr>
              <w:t>项  目</w:t>
            </w:r>
          </w:p>
        </w:tc>
        <w:tc>
          <w:tcPr>
            <w:tcW w:w="2886"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ascii="宋体" w:hAnsi="宋体" w:cs="宋体"/>
                <w:kern w:val="0"/>
                <w:sz w:val="24"/>
                <w:highlight w:val="none"/>
              </w:rPr>
            </w:pPr>
            <w:r>
              <w:rPr>
                <w:rFonts w:hint="eastAsia" w:ascii="宋体" w:hAnsi="宋体" w:cs="宋体"/>
                <w:kern w:val="0"/>
                <w:sz w:val="24"/>
                <w:lang w:eastAsia="zh-CN"/>
              </w:rPr>
              <w:t>2024年</w:t>
            </w:r>
            <w:r>
              <w:rPr>
                <w:rFonts w:hint="default" w:ascii="宋体" w:hAnsi="宋体" w:cs="宋体"/>
                <w:kern w:val="0"/>
                <w:sz w:val="24"/>
                <w:lang w:val="en" w:eastAsia="zh-CN"/>
              </w:rPr>
              <w:t>1-3季</w:t>
            </w:r>
            <w:r>
              <w:rPr>
                <w:rFonts w:hint="eastAsia" w:ascii="宋体" w:hAnsi="宋体" w:cs="宋体"/>
                <w:kern w:val="0"/>
                <w:sz w:val="24"/>
                <w:lang w:eastAsia="zh-CN"/>
              </w:rPr>
              <w:t>度</w:t>
            </w:r>
          </w:p>
        </w:tc>
        <w:tc>
          <w:tcPr>
            <w:tcW w:w="2568"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ascii="宋体" w:hAnsi="宋体" w:cs="宋体"/>
                <w:b/>
                <w:bCs/>
                <w:kern w:val="0"/>
                <w:sz w:val="24"/>
                <w:highlight w:val="none"/>
              </w:rPr>
            </w:pPr>
            <w:r>
              <w:rPr>
                <w:rFonts w:hint="eastAsia" w:ascii="宋体" w:hAnsi="宋体" w:cs="宋体"/>
                <w:kern w:val="0"/>
                <w:sz w:val="24"/>
                <w:lang w:eastAsia="zh-CN"/>
              </w:rPr>
              <w:t>2023年</w:t>
            </w:r>
            <w:r>
              <w:rPr>
                <w:rFonts w:hint="default" w:ascii="宋体" w:hAnsi="宋体" w:cs="宋体"/>
                <w:kern w:val="0"/>
                <w:sz w:val="24"/>
                <w:lang w:val="en" w:eastAsia="zh-CN"/>
              </w:rPr>
              <w:t>1-3季</w:t>
            </w:r>
            <w:r>
              <w:rPr>
                <w:rFonts w:hint="eastAsia" w:ascii="宋体" w:hAnsi="宋体" w:cs="宋体"/>
                <w:kern w:val="0"/>
                <w:sz w:val="24"/>
                <w:lang w:eastAsia="zh-CN"/>
              </w:rPr>
              <w:t>度</w:t>
            </w:r>
          </w:p>
        </w:tc>
        <w:tc>
          <w:tcPr>
            <w:tcW w:w="2477"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ascii="宋体" w:hAnsi="宋体" w:cs="宋体"/>
                <w:kern w:val="0"/>
                <w:sz w:val="24"/>
                <w:highlight w:val="none"/>
              </w:rPr>
            </w:pPr>
            <w:r>
              <w:rPr>
                <w:rFonts w:hint="eastAsia" w:ascii="宋体" w:hAnsi="宋体" w:cs="宋体"/>
                <w:kern w:val="0"/>
                <w:sz w:val="24"/>
                <w:highlight w:val="none"/>
              </w:rPr>
              <w:t>同比增长（%）</w:t>
            </w:r>
          </w:p>
        </w:tc>
      </w:tr>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54" w:hRule="exact"/>
          <w:jc w:val="center"/>
        </w:trPr>
        <w:tc>
          <w:tcPr>
            <w:tcW w:w="5523" w:type="dxa"/>
            <w:tcBorders>
              <w:top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outlineLvl w:val="9"/>
              <w:rPr>
                <w:rFonts w:ascii="宋体" w:hAnsi="宋体" w:cs="宋体"/>
                <w:b/>
                <w:kern w:val="0"/>
                <w:sz w:val="24"/>
              </w:rPr>
            </w:pPr>
            <w:r>
              <w:rPr>
                <w:rFonts w:hint="eastAsia" w:ascii="宋体" w:hAnsi="宋体" w:cs="宋体"/>
                <w:b/>
                <w:kern w:val="0"/>
                <w:sz w:val="24"/>
              </w:rPr>
              <w:t>农林牧渔业总产值（</w:t>
            </w:r>
            <w:r>
              <w:rPr>
                <w:rFonts w:hint="eastAsia" w:ascii="宋体" w:hAnsi="宋体" w:cs="宋体"/>
                <w:b/>
                <w:kern w:val="0"/>
                <w:sz w:val="24"/>
                <w:lang w:eastAsia="zh-CN"/>
              </w:rPr>
              <w:t>万</w:t>
            </w:r>
            <w:r>
              <w:rPr>
                <w:rFonts w:hint="eastAsia" w:ascii="宋体" w:hAnsi="宋体" w:cs="宋体"/>
                <w:b/>
                <w:kern w:val="0"/>
                <w:sz w:val="24"/>
              </w:rPr>
              <w:t>元）</w:t>
            </w:r>
          </w:p>
        </w:tc>
        <w:tc>
          <w:tcPr>
            <w:tcW w:w="2886" w:type="dxa"/>
            <w:tcBorders>
              <w:top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b/>
                <w:bCs/>
                <w:kern w:val="0"/>
                <w:sz w:val="24"/>
                <w:szCs w:val="24"/>
              </w:rPr>
            </w:pPr>
            <w:r>
              <w:rPr>
                <w:rFonts w:hint="eastAsia" w:ascii="宋体" w:hAnsi="宋体" w:eastAsia="宋体" w:cs="宋体"/>
                <w:b/>
                <w:i w:val="0"/>
                <w:color w:val="000000"/>
                <w:kern w:val="0"/>
                <w:sz w:val="24"/>
                <w:szCs w:val="24"/>
                <w:u w:val="none"/>
                <w:lang w:val="en-US" w:eastAsia="zh-CN" w:bidi="ar"/>
              </w:rPr>
              <w:t xml:space="preserve">168055 </w:t>
            </w:r>
          </w:p>
        </w:tc>
        <w:tc>
          <w:tcPr>
            <w:tcW w:w="2568" w:type="dxa"/>
            <w:tcBorders>
              <w:top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b/>
                <w:bCs/>
                <w:kern w:val="0"/>
                <w:sz w:val="24"/>
                <w:szCs w:val="24"/>
              </w:rPr>
            </w:pPr>
            <w:r>
              <w:rPr>
                <w:rFonts w:hint="eastAsia" w:ascii="宋体" w:hAnsi="宋体" w:eastAsia="宋体" w:cs="宋体"/>
                <w:b/>
                <w:i w:val="0"/>
                <w:color w:val="000000"/>
                <w:kern w:val="0"/>
                <w:sz w:val="24"/>
                <w:szCs w:val="24"/>
                <w:u w:val="none"/>
                <w:lang w:val="en-US" w:eastAsia="zh-CN" w:bidi="ar"/>
              </w:rPr>
              <w:t xml:space="preserve">198003 </w:t>
            </w:r>
          </w:p>
        </w:tc>
        <w:tc>
          <w:tcPr>
            <w:tcW w:w="2477" w:type="dxa"/>
            <w:tcBorders>
              <w:top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b/>
                <w:bCs/>
                <w:kern w:val="0"/>
                <w:sz w:val="24"/>
                <w:szCs w:val="24"/>
              </w:rPr>
            </w:pPr>
            <w:r>
              <w:rPr>
                <w:rFonts w:hint="eastAsia" w:ascii="宋体" w:hAnsi="宋体" w:eastAsia="宋体" w:cs="宋体"/>
                <w:b/>
                <w:i w:val="0"/>
                <w:color w:val="000000"/>
                <w:kern w:val="0"/>
                <w:sz w:val="24"/>
                <w:szCs w:val="24"/>
                <w:u w:val="none"/>
                <w:lang w:val="en-US" w:eastAsia="zh-CN" w:bidi="ar"/>
              </w:rPr>
              <w:t xml:space="preserve">-15.1 </w:t>
            </w:r>
          </w:p>
        </w:tc>
      </w:tr>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54" w:hRule="exact"/>
          <w:jc w:val="center"/>
        </w:trPr>
        <w:tc>
          <w:tcPr>
            <w:tcW w:w="552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ind w:firstLine="240" w:firstLineChars="100"/>
              <w:jc w:val="left"/>
              <w:outlineLvl w:val="9"/>
              <w:rPr>
                <w:rFonts w:ascii="宋体" w:hAnsi="宋体" w:cs="宋体"/>
                <w:kern w:val="0"/>
                <w:sz w:val="24"/>
              </w:rPr>
            </w:pPr>
            <w:r>
              <w:rPr>
                <w:rFonts w:hint="eastAsia" w:ascii="宋体" w:hAnsi="宋体" w:cs="宋体"/>
                <w:kern w:val="0"/>
                <w:sz w:val="24"/>
              </w:rPr>
              <w:t>农业产值</w:t>
            </w:r>
          </w:p>
        </w:tc>
        <w:tc>
          <w:tcPr>
            <w:tcW w:w="288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 xml:space="preserve">89913 </w:t>
            </w:r>
          </w:p>
        </w:tc>
        <w:tc>
          <w:tcPr>
            <w:tcW w:w="2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 xml:space="preserve">87042 </w:t>
            </w:r>
          </w:p>
        </w:tc>
        <w:tc>
          <w:tcPr>
            <w:tcW w:w="247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 xml:space="preserve">3.3 </w:t>
            </w:r>
          </w:p>
        </w:tc>
      </w:tr>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54" w:hRule="exact"/>
          <w:jc w:val="center"/>
        </w:trPr>
        <w:tc>
          <w:tcPr>
            <w:tcW w:w="552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宋体" w:hAnsi="宋体" w:cs="宋体"/>
                <w:kern w:val="0"/>
                <w:sz w:val="24"/>
              </w:rPr>
            </w:pPr>
            <w:r>
              <w:rPr>
                <w:rFonts w:hint="eastAsia" w:ascii="宋体" w:hAnsi="宋体" w:cs="宋体"/>
                <w:kern w:val="0"/>
                <w:sz w:val="24"/>
              </w:rPr>
              <w:t xml:space="preserve">  林业产值</w:t>
            </w:r>
          </w:p>
        </w:tc>
        <w:tc>
          <w:tcPr>
            <w:tcW w:w="288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kern w:val="0"/>
                <w:sz w:val="24"/>
                <w:szCs w:val="24"/>
                <w:lang w:eastAsia="zh-CN"/>
              </w:rPr>
            </w:pPr>
            <w:r>
              <w:rPr>
                <w:rFonts w:hint="eastAsia" w:ascii="宋体" w:hAnsi="宋体" w:eastAsia="宋体" w:cs="宋体"/>
                <w:i w:val="0"/>
                <w:color w:val="000000"/>
                <w:kern w:val="0"/>
                <w:sz w:val="24"/>
                <w:szCs w:val="24"/>
                <w:u w:val="none"/>
                <w:lang w:val="en-US" w:eastAsia="zh-CN" w:bidi="ar"/>
              </w:rPr>
              <w:t xml:space="preserve">29061 </w:t>
            </w:r>
          </w:p>
        </w:tc>
        <w:tc>
          <w:tcPr>
            <w:tcW w:w="2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 xml:space="preserve">66600 </w:t>
            </w:r>
          </w:p>
        </w:tc>
        <w:tc>
          <w:tcPr>
            <w:tcW w:w="247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 xml:space="preserve">-56.4 </w:t>
            </w:r>
          </w:p>
        </w:tc>
      </w:tr>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54" w:hRule="exact"/>
          <w:jc w:val="center"/>
        </w:trPr>
        <w:tc>
          <w:tcPr>
            <w:tcW w:w="552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牧业产值</w:t>
            </w:r>
          </w:p>
        </w:tc>
        <w:tc>
          <w:tcPr>
            <w:tcW w:w="288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 xml:space="preserve">39811 </w:t>
            </w:r>
          </w:p>
        </w:tc>
        <w:tc>
          <w:tcPr>
            <w:tcW w:w="2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 xml:space="preserve">35642 </w:t>
            </w:r>
          </w:p>
        </w:tc>
        <w:tc>
          <w:tcPr>
            <w:tcW w:w="247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 xml:space="preserve">11.7 </w:t>
            </w:r>
          </w:p>
        </w:tc>
      </w:tr>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54" w:hRule="exact"/>
          <w:jc w:val="center"/>
        </w:trPr>
        <w:tc>
          <w:tcPr>
            <w:tcW w:w="552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渔业产值</w:t>
            </w:r>
          </w:p>
        </w:tc>
        <w:tc>
          <w:tcPr>
            <w:tcW w:w="288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 xml:space="preserve">1826 </w:t>
            </w:r>
          </w:p>
        </w:tc>
        <w:tc>
          <w:tcPr>
            <w:tcW w:w="2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 xml:space="preserve">1178 </w:t>
            </w:r>
          </w:p>
        </w:tc>
        <w:tc>
          <w:tcPr>
            <w:tcW w:w="247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 xml:space="preserve">54.9 </w:t>
            </w:r>
          </w:p>
        </w:tc>
      </w:tr>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54" w:hRule="exact"/>
          <w:jc w:val="center"/>
        </w:trPr>
        <w:tc>
          <w:tcPr>
            <w:tcW w:w="552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农林牧渔</w:t>
            </w:r>
            <w:r>
              <w:rPr>
                <w:rFonts w:hint="eastAsia" w:ascii="宋体" w:hAnsi="宋体" w:cs="宋体"/>
                <w:kern w:val="0"/>
                <w:sz w:val="24"/>
                <w:lang w:eastAsia="zh-CN"/>
              </w:rPr>
              <w:t>专业及辅助性活动产值</w:t>
            </w:r>
            <w:r>
              <w:rPr>
                <w:rFonts w:hint="eastAsia" w:ascii="宋体" w:hAnsi="宋体" w:cs="宋体"/>
                <w:kern w:val="0"/>
                <w:sz w:val="24"/>
              </w:rPr>
              <w:t xml:space="preserve"> </w:t>
            </w:r>
          </w:p>
        </w:tc>
        <w:tc>
          <w:tcPr>
            <w:tcW w:w="288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 xml:space="preserve">7444 </w:t>
            </w:r>
          </w:p>
        </w:tc>
        <w:tc>
          <w:tcPr>
            <w:tcW w:w="2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 xml:space="preserve">7540 </w:t>
            </w:r>
          </w:p>
        </w:tc>
        <w:tc>
          <w:tcPr>
            <w:tcW w:w="247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kern w:val="0"/>
                <w:sz w:val="24"/>
                <w:szCs w:val="24"/>
                <w:lang w:val="en-US"/>
              </w:rPr>
            </w:pPr>
            <w:r>
              <w:rPr>
                <w:rFonts w:hint="eastAsia" w:ascii="宋体" w:hAnsi="宋体" w:eastAsia="宋体" w:cs="宋体"/>
                <w:i w:val="0"/>
                <w:color w:val="000000"/>
                <w:kern w:val="0"/>
                <w:sz w:val="24"/>
                <w:szCs w:val="24"/>
                <w:u w:val="none"/>
                <w:lang w:val="en-US" w:eastAsia="zh-CN" w:bidi="ar"/>
              </w:rPr>
              <w:t xml:space="preserve">-1.3 </w:t>
            </w:r>
          </w:p>
        </w:tc>
      </w:tr>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30" w:hRule="exact"/>
          <w:jc w:val="center"/>
        </w:trPr>
        <w:tc>
          <w:tcPr>
            <w:tcW w:w="13454" w:type="dxa"/>
            <w:gridSpan w:val="4"/>
            <w:tcBorders>
              <w:top w:val="single" w:color="auto" w:sz="12" w:space="0"/>
              <w:tl2br w:val="nil"/>
              <w:tr2bl w:val="nil"/>
            </w:tcBorders>
            <w:vAlign w:val="top"/>
          </w:tcPr>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bCs/>
                <w:sz w:val="24"/>
                <w:szCs w:val="24"/>
              </w:rPr>
            </w:pPr>
            <w:r>
              <w:rPr>
                <w:rFonts w:hint="eastAsia" w:ascii="楷体_GB2312" w:hAnsi="宋体" w:eastAsia="楷体_GB2312" w:cs="宋体"/>
                <w:bCs/>
                <w:sz w:val="24"/>
                <w:szCs w:val="24"/>
              </w:rPr>
              <w:t>注释：</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outlineLvl w:val="9"/>
              <w:rPr>
                <w:rFonts w:hint="eastAsia" w:ascii="楷体_GB2312" w:hAnsi="宋体" w:eastAsia="楷体_GB2312" w:cs="宋体"/>
                <w:bCs/>
                <w:sz w:val="24"/>
                <w:szCs w:val="24"/>
              </w:rPr>
            </w:pPr>
            <w:r>
              <w:rPr>
                <w:rFonts w:hint="eastAsia" w:ascii="楷体_GB2312" w:hAnsi="宋体" w:eastAsia="楷体_GB2312" w:cs="宋体"/>
                <w:b/>
                <w:bCs/>
                <w:sz w:val="24"/>
                <w:szCs w:val="24"/>
                <w:lang w:val="en-US" w:eastAsia="zh-CN"/>
              </w:rPr>
              <w:t>1、</w:t>
            </w:r>
            <w:r>
              <w:rPr>
                <w:rFonts w:hint="eastAsia" w:ascii="楷体_GB2312" w:hAnsi="宋体" w:eastAsia="楷体_GB2312" w:cs="宋体"/>
                <w:b/>
                <w:bCs/>
                <w:sz w:val="24"/>
                <w:szCs w:val="24"/>
              </w:rPr>
              <w:t>统计范围</w:t>
            </w:r>
            <w:r>
              <w:rPr>
                <w:rFonts w:hint="eastAsia" w:ascii="楷体_GB2312" w:hAnsi="宋体" w:eastAsia="楷体_GB2312" w:cs="宋体"/>
                <w:sz w:val="24"/>
                <w:szCs w:val="24"/>
              </w:rPr>
              <w:t>：农林牧渔业单位</w:t>
            </w:r>
            <w:r>
              <w:rPr>
                <w:rFonts w:hint="eastAsia" w:ascii="楷体_GB2312" w:hAnsi="宋体" w:eastAsia="楷体_GB2312" w:cs="宋体"/>
                <w:sz w:val="24"/>
                <w:szCs w:val="24"/>
                <w:lang w:eastAsia="zh-CN"/>
              </w:rPr>
              <w:t>及农户</w:t>
            </w:r>
            <w:r>
              <w:rPr>
                <w:rFonts w:hint="eastAsia" w:ascii="楷体_GB2312" w:hAnsi="宋体" w:eastAsia="楷体_GB2312" w:cs="宋体"/>
                <w:sz w:val="24"/>
                <w:szCs w:val="24"/>
              </w:rPr>
              <w:t>。</w:t>
            </w:r>
            <w:r>
              <w:rPr>
                <w:rFonts w:hint="eastAsia" w:ascii="楷体_GB2312" w:hAnsi="宋体" w:eastAsia="楷体_GB2312" w:cs="宋体"/>
                <w:sz w:val="24"/>
                <w:szCs w:val="24"/>
              </w:rPr>
              <w:br w:type="textWrapping"/>
            </w:r>
            <w:r>
              <w:rPr>
                <w:rFonts w:hint="eastAsia" w:ascii="楷体_GB2312" w:hAnsi="宋体" w:eastAsia="楷体_GB2312" w:cs="宋体"/>
                <w:b/>
                <w:sz w:val="24"/>
                <w:szCs w:val="24"/>
              </w:rPr>
              <w:t>2</w:t>
            </w:r>
            <w:r>
              <w:rPr>
                <w:rFonts w:hint="eastAsia" w:ascii="楷体_GB2312" w:hAnsi="宋体" w:eastAsia="楷体_GB2312" w:cs="宋体"/>
                <w:b/>
                <w:bCs/>
                <w:sz w:val="24"/>
                <w:szCs w:val="24"/>
              </w:rPr>
              <w:t>、采集渠道</w:t>
            </w:r>
            <w:r>
              <w:rPr>
                <w:rFonts w:hint="eastAsia" w:ascii="楷体_GB2312" w:hAnsi="宋体" w:eastAsia="楷体_GB2312" w:cs="宋体"/>
                <w:bCs/>
                <w:sz w:val="24"/>
                <w:szCs w:val="24"/>
              </w:rPr>
              <w:t>：</w:t>
            </w:r>
            <w:r>
              <w:rPr>
                <w:rFonts w:hint="eastAsia" w:ascii="楷体_GB2312" w:hAnsi="宋体" w:eastAsia="楷体_GB2312" w:cs="宋体"/>
                <w:sz w:val="24"/>
                <w:szCs w:val="24"/>
              </w:rPr>
              <w:t>按照《郊区统计报表制度》的规定，由乡镇、区、到市级，逐级</w:t>
            </w:r>
            <w:r>
              <w:rPr>
                <w:rFonts w:hint="eastAsia" w:ascii="楷体_GB2312" w:hAnsi="宋体" w:eastAsia="楷体_GB2312" w:cs="宋体"/>
                <w:sz w:val="24"/>
                <w:szCs w:val="24"/>
                <w:lang w:eastAsia="zh-CN"/>
              </w:rPr>
              <w:t>核算</w:t>
            </w:r>
            <w:r>
              <w:rPr>
                <w:rFonts w:hint="eastAsia" w:ascii="楷体_GB2312" w:hAnsi="宋体" w:eastAsia="楷体_GB2312" w:cs="宋体"/>
                <w:sz w:val="24"/>
                <w:szCs w:val="24"/>
              </w:rPr>
              <w:t>。</w:t>
            </w:r>
            <w:r>
              <w:rPr>
                <w:rFonts w:hint="eastAsia" w:ascii="楷体_GB2312" w:hAnsi="宋体" w:eastAsia="楷体_GB2312" w:cs="宋体"/>
                <w:sz w:val="24"/>
                <w:szCs w:val="24"/>
              </w:rPr>
              <w:br w:type="textWrapping"/>
            </w:r>
            <w:r>
              <w:rPr>
                <w:rFonts w:hint="eastAsia" w:ascii="楷体_GB2312" w:hAnsi="宋体" w:eastAsia="楷体_GB2312" w:cs="宋体"/>
                <w:b/>
                <w:sz w:val="24"/>
                <w:szCs w:val="24"/>
              </w:rPr>
              <w:t>3</w:t>
            </w:r>
            <w:r>
              <w:rPr>
                <w:rFonts w:hint="eastAsia" w:ascii="楷体_GB2312" w:hAnsi="宋体" w:eastAsia="楷体_GB2312" w:cs="宋体"/>
                <w:b/>
                <w:bCs/>
                <w:sz w:val="24"/>
                <w:szCs w:val="24"/>
              </w:rPr>
              <w:t>、主要统计指标解释</w:t>
            </w:r>
            <w:r>
              <w:rPr>
                <w:rFonts w:hint="eastAsia" w:ascii="楷体_GB2312" w:hAnsi="宋体" w:eastAsia="楷体_GB2312" w:cs="宋体"/>
                <w:bCs/>
                <w:sz w:val="24"/>
                <w:szCs w:val="24"/>
              </w:rPr>
              <w:t>：农林牧渔业总产值</w:t>
            </w:r>
            <w:r>
              <w:rPr>
                <w:rFonts w:hint="eastAsia" w:ascii="楷体_GB2312" w:hAnsi="宋体" w:eastAsia="楷体_GB2312" w:cs="宋体"/>
                <w:bCs/>
                <w:sz w:val="24"/>
                <w:szCs w:val="24"/>
                <w:lang w:eastAsia="zh-CN"/>
              </w:rPr>
              <w:t>：指</w:t>
            </w:r>
            <w:r>
              <w:rPr>
                <w:rFonts w:hint="eastAsia" w:ascii="楷体_GB2312" w:hAnsi="宋体" w:eastAsia="楷体_GB2312" w:cs="宋体"/>
                <w:bCs/>
                <w:sz w:val="24"/>
                <w:szCs w:val="24"/>
              </w:rPr>
              <w:t>以货币表现的农林牧渔业的全部产品总量和对农林牧渔业生产活动进行的各种支持性服务活动的价值。</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ind w:right="0" w:rightChars="0"/>
              <w:jc w:val="both"/>
              <w:outlineLvl w:val="9"/>
              <w:rPr>
                <w:rFonts w:hint="eastAsia" w:ascii="楷体_GB2312" w:hAnsi="宋体" w:eastAsia="楷体_GB2312" w:cs="宋体"/>
                <w:sz w:val="21"/>
                <w:szCs w:val="21"/>
              </w:rPr>
            </w:pPr>
          </w:p>
        </w:tc>
      </w:tr>
    </w:tbl>
    <w:p>
      <w:pPr>
        <w:rPr>
          <w:rFonts w:hint="eastAsia"/>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lang w:eastAsia="zh-CN"/>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rPr>
      </w:pPr>
      <w:r>
        <w:rPr>
          <w:rFonts w:hint="eastAsia"/>
          <w:b/>
          <w:color w:val="0000FF"/>
          <w:sz w:val="36"/>
          <w:szCs w:val="36"/>
          <w:lang w:eastAsia="zh-CN"/>
        </w:rPr>
        <w:t>统计数据：2024年</w:t>
      </w:r>
      <w:r>
        <w:rPr>
          <w:rFonts w:hint="default"/>
          <w:b/>
          <w:color w:val="0000FF"/>
          <w:sz w:val="36"/>
          <w:szCs w:val="36"/>
          <w:lang w:val="en" w:eastAsia="zh-CN"/>
        </w:rPr>
        <w:t>1-3季度</w:t>
      </w:r>
      <w:r>
        <w:rPr>
          <w:rFonts w:hint="eastAsia" w:cs="Times New Roman"/>
          <w:b/>
          <w:color w:val="0000FF"/>
          <w:kern w:val="2"/>
          <w:sz w:val="36"/>
          <w:szCs w:val="36"/>
          <w:lang w:eastAsia="zh-CN"/>
        </w:rPr>
        <w:t>乡村休闲旅游经营</w:t>
      </w:r>
      <w:r>
        <w:rPr>
          <w:rFonts w:hint="eastAsia"/>
          <w:b/>
          <w:color w:val="0000FF"/>
          <w:sz w:val="36"/>
          <w:szCs w:val="36"/>
        </w:rPr>
        <w:t>情况</w:t>
      </w:r>
    </w:p>
    <w:tbl>
      <w:tblPr>
        <w:tblStyle w:val="6"/>
        <w:tblW w:w="4998" w:type="pct"/>
        <w:jc w:val="center"/>
        <w:tblBorders>
          <w:top w:val="single" w:color="auto" w:sz="12" w:space="0"/>
          <w:left w:val="none" w:color="auto" w:sz="0" w:space="0"/>
          <w:bottom w:val="none" w:color="auto" w:sz="0" w:space="0"/>
          <w:right w:val="none" w:color="auto" w:sz="0" w:space="0"/>
          <w:insideH w:val="none" w:color="auto" w:sz="0" w:space="0"/>
          <w:insideV w:val="single" w:color="auto" w:sz="4" w:space="0"/>
        </w:tblBorders>
        <w:tblLayout w:type="autofit"/>
        <w:tblCellMar>
          <w:top w:w="0" w:type="dxa"/>
          <w:left w:w="108" w:type="dxa"/>
          <w:bottom w:w="0" w:type="dxa"/>
          <w:right w:w="108" w:type="dxa"/>
        </w:tblCellMar>
      </w:tblPr>
      <w:tblGrid>
        <w:gridCol w:w="5234"/>
        <w:gridCol w:w="4080"/>
        <w:gridCol w:w="4135"/>
      </w:tblGrid>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740" w:hRule="exact"/>
          <w:jc w:val="center"/>
        </w:trPr>
        <w:tc>
          <w:tcPr>
            <w:tcW w:w="1946" w:type="pct"/>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ascii="宋体" w:hAnsi="宋体" w:cs="宋体"/>
                <w:kern w:val="0"/>
                <w:sz w:val="24"/>
              </w:rPr>
            </w:pPr>
            <w:r>
              <w:rPr>
                <w:rFonts w:hint="eastAsia" w:ascii="宋体" w:hAnsi="宋体" w:cs="宋体"/>
                <w:kern w:val="0"/>
                <w:sz w:val="24"/>
              </w:rPr>
              <w:t>项  目</w:t>
            </w:r>
          </w:p>
        </w:tc>
        <w:tc>
          <w:tcPr>
            <w:tcW w:w="1517" w:type="pct"/>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default" w:ascii="宋体" w:hAnsi="宋体" w:cs="宋体"/>
                <w:kern w:val="0"/>
                <w:sz w:val="24"/>
                <w:highlight w:val="none"/>
                <w:lang w:val="en"/>
              </w:rPr>
            </w:pPr>
            <w:r>
              <w:rPr>
                <w:rFonts w:hint="eastAsia" w:ascii="宋体" w:hAnsi="宋体" w:cs="宋体"/>
                <w:kern w:val="0"/>
                <w:sz w:val="24"/>
                <w:highlight w:val="none"/>
                <w:lang w:eastAsia="zh-CN"/>
              </w:rPr>
              <w:t>2024年</w:t>
            </w:r>
            <w:r>
              <w:rPr>
                <w:rFonts w:hint="default" w:ascii="宋体" w:hAnsi="宋体" w:cs="宋体"/>
                <w:kern w:val="0"/>
                <w:sz w:val="24"/>
                <w:highlight w:val="none"/>
                <w:lang w:val="en" w:eastAsia="zh-CN"/>
              </w:rPr>
              <w:t>1-3季度</w:t>
            </w:r>
          </w:p>
        </w:tc>
        <w:tc>
          <w:tcPr>
            <w:tcW w:w="1535" w:type="pct"/>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宋体" w:hAnsi="宋体" w:cs="宋体"/>
                <w:kern w:val="0"/>
                <w:sz w:val="24"/>
                <w:highlight w:val="none"/>
                <w:lang w:eastAsia="zh-CN"/>
              </w:rPr>
            </w:pPr>
            <w:r>
              <w:rPr>
                <w:rFonts w:hint="eastAsia" w:ascii="宋体" w:hAnsi="宋体" w:cs="宋体"/>
                <w:kern w:val="0"/>
                <w:sz w:val="24"/>
                <w:highlight w:val="none"/>
              </w:rPr>
              <w:t>同比增长（%）</w:t>
            </w:r>
          </w:p>
        </w:tc>
      </w:tr>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02" w:hRule="exact"/>
          <w:jc w:val="center"/>
        </w:trPr>
        <w:tc>
          <w:tcPr>
            <w:tcW w:w="194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outlineLvl w:val="9"/>
              <w:rPr>
                <w:rFonts w:hint="eastAsia" w:ascii="宋体" w:hAnsi="宋体" w:cs="宋体"/>
                <w:kern w:val="0"/>
                <w:sz w:val="24"/>
                <w:lang w:val="en-US" w:eastAsia="zh-CN"/>
              </w:rPr>
            </w:pPr>
            <w:r>
              <w:rPr>
                <w:rFonts w:hint="eastAsia" w:ascii="宋体" w:hAnsi="宋体" w:eastAsia="宋体" w:cs="宋体"/>
                <w:b w:val="0"/>
                <w:bCs/>
                <w:i w:val="0"/>
                <w:color w:val="000000"/>
                <w:kern w:val="0"/>
                <w:sz w:val="24"/>
                <w:szCs w:val="24"/>
                <w:u w:val="none"/>
                <w:lang w:val="en-US" w:eastAsia="zh-CN" w:bidi="ar-SA"/>
              </w:rPr>
              <w:t xml:space="preserve">  </w:t>
            </w:r>
            <w:r>
              <w:rPr>
                <w:rFonts w:hint="eastAsia" w:asciiTheme="minorEastAsia" w:hAnsiTheme="minorEastAsia" w:eastAsiaTheme="minorEastAsia" w:cstheme="minorEastAsia"/>
                <w:b w:val="0"/>
                <w:bCs/>
                <w:i w:val="0"/>
                <w:color w:val="000000"/>
                <w:kern w:val="0"/>
                <w:sz w:val="24"/>
                <w:szCs w:val="24"/>
                <w:u w:val="none"/>
                <w:lang w:val="en-US" w:eastAsia="zh-CN" w:bidi="ar-SA"/>
              </w:rPr>
              <w:t>总收入（万元</w:t>
            </w:r>
            <w:r>
              <w:rPr>
                <w:rFonts w:hint="eastAsia" w:asciiTheme="minorEastAsia" w:hAnsiTheme="minorEastAsia" w:eastAsiaTheme="minorEastAsia" w:cstheme="minorEastAsia"/>
                <w:kern w:val="0"/>
                <w:sz w:val="24"/>
                <w:lang w:val="en-US" w:eastAsia="zh-CN"/>
              </w:rPr>
              <w:t>）</w:t>
            </w:r>
          </w:p>
        </w:tc>
        <w:tc>
          <w:tcPr>
            <w:tcW w:w="408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cs="宋体"/>
                <w:kern w:val="0"/>
                <w:sz w:val="24"/>
                <w:szCs w:val="24"/>
              </w:rPr>
            </w:pPr>
            <w:r>
              <w:rPr>
                <w:rFonts w:hint="eastAsia" w:ascii="宋体" w:hAnsi="宋体" w:eastAsia="宋体" w:cs="宋体"/>
                <w:i w:val="0"/>
                <w:color w:val="000000"/>
                <w:kern w:val="0"/>
                <w:sz w:val="24"/>
                <w:szCs w:val="24"/>
                <w:u w:val="none"/>
                <w:lang w:val="en-US" w:eastAsia="zh-CN" w:bidi="ar"/>
              </w:rPr>
              <w:t xml:space="preserve">60095 </w:t>
            </w:r>
          </w:p>
        </w:tc>
        <w:tc>
          <w:tcPr>
            <w:tcW w:w="413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default"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0.4 </w:t>
            </w:r>
          </w:p>
        </w:tc>
      </w:tr>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56" w:hRule="exact"/>
          <w:jc w:val="center"/>
        </w:trPr>
        <w:tc>
          <w:tcPr>
            <w:tcW w:w="1946" w:type="pct"/>
            <w:tcBorders>
              <w:bottom w:val="single" w:color="auto" w:sz="12" w:space="0"/>
            </w:tcBorders>
            <w:vAlign w:val="center"/>
          </w:tcPr>
          <w:p>
            <w:pPr>
              <w:jc w:val="both"/>
              <w:rPr>
                <w:rFonts w:hint="default" w:eastAsia="宋体"/>
                <w:lang w:val="en-US" w:eastAsia="zh-CN"/>
              </w:rPr>
            </w:pPr>
            <w:r>
              <w:rPr>
                <w:rFonts w:hint="eastAsia"/>
                <w:lang w:val="en-US" w:eastAsia="zh-CN"/>
              </w:rPr>
              <w:t xml:space="preserve">  </w:t>
            </w:r>
            <w:r>
              <w:rPr>
                <w:rFonts w:hint="eastAsia" w:asciiTheme="minorEastAsia" w:hAnsiTheme="minorEastAsia" w:eastAsiaTheme="minorEastAsia" w:cstheme="minorEastAsia"/>
                <w:b w:val="0"/>
                <w:bCs/>
                <w:i w:val="0"/>
                <w:color w:val="000000"/>
                <w:kern w:val="0"/>
                <w:sz w:val="24"/>
                <w:szCs w:val="24"/>
                <w:u w:val="none"/>
                <w:lang w:val="en-US" w:eastAsia="zh-CN" w:bidi="ar-SA"/>
              </w:rPr>
              <w:t>接待人次（万人次）</w:t>
            </w:r>
          </w:p>
        </w:tc>
        <w:tc>
          <w:tcPr>
            <w:tcW w:w="4080" w:type="dxa"/>
            <w:tcBorders>
              <w:bottom w:val="single" w:color="auto" w:sz="1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sz w:val="24"/>
                <w:szCs w:val="24"/>
              </w:rPr>
            </w:pPr>
            <w:r>
              <w:rPr>
                <w:rFonts w:hint="eastAsia" w:ascii="宋体" w:hAnsi="宋体" w:eastAsia="宋体" w:cs="宋体"/>
                <w:i w:val="0"/>
                <w:color w:val="000000"/>
                <w:kern w:val="0"/>
                <w:sz w:val="24"/>
                <w:szCs w:val="24"/>
                <w:u w:val="none"/>
                <w:lang w:val="en-US" w:eastAsia="zh-CN" w:bidi="ar"/>
              </w:rPr>
              <w:t xml:space="preserve">356.2 </w:t>
            </w:r>
          </w:p>
        </w:tc>
        <w:tc>
          <w:tcPr>
            <w:tcW w:w="4135" w:type="dxa"/>
            <w:tcBorders>
              <w:bottom w:val="single" w:color="auto" w:sz="1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default"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-4.8 </w:t>
            </w:r>
          </w:p>
        </w:tc>
      </w:tr>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998" w:hRule="exact"/>
          <w:jc w:val="center"/>
        </w:trPr>
        <w:tc>
          <w:tcPr>
            <w:tcW w:w="5000" w:type="pct"/>
            <w:gridSpan w:val="3"/>
            <w:tcBorders>
              <w:top w:val="single" w:color="auto" w:sz="12" w:space="0"/>
              <w:tl2br w:val="nil"/>
              <w:tr2bl w:val="nil"/>
            </w:tcBorders>
            <w:vAlign w:val="top"/>
          </w:tcPr>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bCs/>
                <w:sz w:val="24"/>
                <w:szCs w:val="24"/>
              </w:rPr>
            </w:pPr>
            <w:r>
              <w:rPr>
                <w:rFonts w:hint="eastAsia" w:ascii="楷体_GB2312" w:hAnsi="宋体" w:eastAsia="楷体_GB2312" w:cs="宋体"/>
                <w:bCs/>
                <w:sz w:val="24"/>
                <w:szCs w:val="24"/>
              </w:rPr>
              <w:t>注释：</w:t>
            </w:r>
          </w:p>
          <w:p>
            <w:pPr>
              <w:keepNext w:val="0"/>
              <w:keepLines w:val="0"/>
              <w:pageBreakBefore w:val="0"/>
              <w:kinsoku/>
              <w:wordWrap/>
              <w:overflowPunct/>
              <w:topLinePunct w:val="0"/>
              <w:autoSpaceDE/>
              <w:autoSpaceDN/>
              <w:bidi w:val="0"/>
              <w:adjustRightInd w:val="0"/>
              <w:snapToGrid w:val="0"/>
              <w:spacing w:beforeLines="0" w:afterLines="0"/>
              <w:jc w:val="left"/>
              <w:outlineLvl w:val="9"/>
              <w:rPr>
                <w:rFonts w:hint="eastAsia" w:ascii="楷体_GB2312" w:hAnsi="宋体" w:eastAsia="楷体_GB2312" w:cs="宋体"/>
                <w:kern w:val="0"/>
                <w:sz w:val="24"/>
                <w:szCs w:val="24"/>
                <w:lang w:val="en-US" w:eastAsia="zh-CN" w:bidi="ar-SA"/>
              </w:rPr>
            </w:pPr>
            <w:r>
              <w:rPr>
                <w:rFonts w:hint="eastAsia" w:ascii="楷体_GB2312" w:hAnsi="宋体" w:eastAsia="楷体_GB2312" w:cs="宋体"/>
                <w:b/>
                <w:bCs/>
                <w:sz w:val="24"/>
                <w:szCs w:val="24"/>
                <w:lang w:val="en-US" w:eastAsia="zh-CN"/>
              </w:rPr>
              <w:t>1、</w:t>
            </w:r>
            <w:r>
              <w:rPr>
                <w:rFonts w:hint="eastAsia" w:ascii="楷体_GB2312" w:hAnsi="宋体" w:eastAsia="楷体_GB2312" w:cs="宋体"/>
                <w:b/>
                <w:bCs/>
                <w:sz w:val="24"/>
                <w:szCs w:val="24"/>
              </w:rPr>
              <w:t>统计范围</w:t>
            </w:r>
            <w:r>
              <w:rPr>
                <w:rFonts w:hint="eastAsia" w:ascii="楷体_GB2312" w:hAnsi="宋体" w:eastAsia="楷体_GB2312" w:cs="宋体"/>
                <w:sz w:val="24"/>
                <w:szCs w:val="24"/>
              </w:rPr>
              <w:t>：</w:t>
            </w:r>
            <w:r>
              <w:rPr>
                <w:rFonts w:hint="eastAsia" w:ascii="楷体_GB2312" w:hAnsi="宋体" w:eastAsia="楷体_GB2312" w:cs="宋体"/>
                <w:kern w:val="0"/>
                <w:sz w:val="24"/>
                <w:szCs w:val="24"/>
                <w:lang w:val="en-US" w:eastAsia="zh-CN" w:bidi="ar-SA"/>
              </w:rPr>
              <w:t>行政村范围内乡村休闲旅游经营主体。</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outlineLvl w:val="9"/>
              <w:rPr>
                <w:rFonts w:hint="eastAsia" w:ascii="楷体_GB2312" w:hAnsi="宋体" w:eastAsia="楷体_GB2312" w:cs="宋体"/>
                <w:bCs/>
                <w:sz w:val="24"/>
                <w:szCs w:val="24"/>
                <w:lang w:val="en-US" w:eastAsia="zh-CN"/>
              </w:rPr>
            </w:pPr>
            <w:r>
              <w:rPr>
                <w:rFonts w:hint="eastAsia" w:ascii="楷体_GB2312" w:hAnsi="宋体" w:eastAsia="楷体_GB2312" w:cs="宋体"/>
                <w:b/>
                <w:sz w:val="24"/>
                <w:szCs w:val="24"/>
              </w:rPr>
              <w:t>2</w:t>
            </w:r>
            <w:r>
              <w:rPr>
                <w:rFonts w:hint="eastAsia" w:ascii="楷体_GB2312" w:hAnsi="宋体" w:eastAsia="楷体_GB2312" w:cs="宋体"/>
                <w:b/>
                <w:bCs/>
                <w:sz w:val="24"/>
                <w:szCs w:val="24"/>
              </w:rPr>
              <w:t>、采集渠道</w:t>
            </w:r>
            <w:r>
              <w:rPr>
                <w:rFonts w:hint="eastAsia" w:ascii="楷体_GB2312" w:hAnsi="宋体" w:eastAsia="楷体_GB2312" w:cs="宋体"/>
                <w:bCs/>
                <w:sz w:val="24"/>
                <w:szCs w:val="24"/>
              </w:rPr>
              <w:t>：</w:t>
            </w:r>
            <w:r>
              <w:rPr>
                <w:rFonts w:hint="eastAsia" w:ascii="楷体_GB2312" w:hAnsi="宋体" w:eastAsia="楷体_GB2312" w:cs="宋体"/>
                <w:sz w:val="24"/>
                <w:szCs w:val="24"/>
              </w:rPr>
              <w:t>按照《郊区统计报表制度》的规定，由村、乡镇、区、到市级，逐级汇总。</w:t>
            </w:r>
            <w:r>
              <w:rPr>
                <w:rFonts w:hint="eastAsia" w:ascii="楷体_GB2312" w:hAnsi="宋体" w:eastAsia="楷体_GB2312" w:cs="宋体"/>
                <w:sz w:val="24"/>
                <w:szCs w:val="24"/>
              </w:rPr>
              <w:br w:type="textWrapping"/>
            </w:r>
            <w:r>
              <w:rPr>
                <w:rFonts w:hint="eastAsia" w:ascii="楷体_GB2312" w:hAnsi="宋体" w:eastAsia="楷体_GB2312" w:cs="宋体"/>
                <w:b/>
                <w:sz w:val="24"/>
                <w:szCs w:val="24"/>
              </w:rPr>
              <w:t>3</w:t>
            </w:r>
            <w:r>
              <w:rPr>
                <w:rFonts w:hint="eastAsia" w:ascii="楷体_GB2312" w:hAnsi="宋体" w:eastAsia="楷体_GB2312" w:cs="宋体"/>
                <w:b/>
                <w:bCs/>
                <w:sz w:val="24"/>
                <w:szCs w:val="24"/>
              </w:rPr>
              <w:t>、主要统计指标解释</w:t>
            </w:r>
            <w:r>
              <w:rPr>
                <w:rFonts w:hint="eastAsia" w:ascii="楷体_GB2312" w:hAnsi="宋体" w:eastAsia="楷体_GB2312" w:cs="宋体"/>
                <w:bCs/>
                <w:sz w:val="24"/>
                <w:szCs w:val="24"/>
              </w:rPr>
              <w:t>：</w:t>
            </w:r>
            <w:r>
              <w:rPr>
                <w:rFonts w:hint="eastAsia" w:ascii="楷体_GB2312" w:hAnsi="宋体" w:eastAsia="楷体_GB2312" w:cs="宋体"/>
                <w:bCs/>
                <w:sz w:val="24"/>
                <w:szCs w:val="24"/>
                <w:lang w:val="en-US" w:eastAsia="zh-CN"/>
              </w:rPr>
              <w:t>接待人次：指规定调查期内经营主体接待的人次。总收入：指经营主体从事各类业务活动取得的收入。具体包括门票收入、采摘收入、出售农产品收入、出售其他商品收入、休闲娱乐收入、餐饮收入、住宿收入和其他收入</w:t>
            </w:r>
          </w:p>
        </w:tc>
      </w:tr>
    </w:tbl>
    <w:p>
      <w:pPr>
        <w:jc w:val="center"/>
        <w:rPr>
          <w:rFonts w:hint="eastAsia"/>
          <w:b/>
          <w:color w:val="0000FF"/>
          <w:sz w:val="36"/>
          <w:szCs w:val="36"/>
          <w:lang w:eastAsia="zh-CN"/>
        </w:rPr>
      </w:pPr>
    </w:p>
    <w:p>
      <w:pPr>
        <w:pStyle w:val="2"/>
        <w:rPr>
          <w:rFonts w:hint="eastAsia"/>
          <w:b/>
          <w:color w:val="0000FF"/>
          <w:sz w:val="36"/>
          <w:szCs w:val="36"/>
          <w:lang w:eastAsia="zh-CN"/>
        </w:rPr>
      </w:pPr>
    </w:p>
    <w:p>
      <w:pPr>
        <w:rPr>
          <w:rFonts w:hint="eastAsia"/>
          <w:b/>
          <w:color w:val="0000FF"/>
          <w:sz w:val="36"/>
          <w:szCs w:val="36"/>
          <w:lang w:eastAsia="zh-CN"/>
        </w:rPr>
      </w:pPr>
    </w:p>
    <w:p>
      <w:pPr>
        <w:pStyle w:val="2"/>
        <w:rPr>
          <w:rFonts w:hint="eastAsia"/>
          <w:b/>
          <w:color w:val="0000FF"/>
          <w:sz w:val="36"/>
          <w:szCs w:val="36"/>
          <w:lang w:eastAsia="zh-CN"/>
        </w:rPr>
      </w:pPr>
    </w:p>
    <w:p>
      <w:pPr>
        <w:rPr>
          <w:rFonts w:hint="eastAsia"/>
          <w:lang w:eastAsia="zh-CN"/>
        </w:rPr>
      </w:pPr>
    </w:p>
    <w:p>
      <w:pPr>
        <w:rPr>
          <w:rFonts w:hint="eastAsia"/>
          <w:b/>
          <w:color w:val="0000FF"/>
          <w:sz w:val="36"/>
          <w:szCs w:val="36"/>
          <w:lang w:eastAsia="zh-CN"/>
        </w:rPr>
      </w:pPr>
    </w:p>
    <w:p>
      <w:pPr>
        <w:pStyle w:val="2"/>
        <w:rPr>
          <w:rFonts w:hint="eastAsia"/>
          <w:lang w:eastAsia="zh-CN"/>
        </w:rPr>
      </w:pPr>
    </w:p>
    <w:p>
      <w:pPr>
        <w:rPr>
          <w:rFonts w:hint="eastAsia"/>
          <w:lang w:eastAsia="zh-CN"/>
        </w:rPr>
      </w:pPr>
    </w:p>
    <w:p>
      <w:pPr>
        <w:rPr>
          <w:rFonts w:hint="eastAsia"/>
          <w:lang w:eastAsia="zh-CN"/>
        </w:rPr>
      </w:pPr>
    </w:p>
    <w:p>
      <w:pPr>
        <w:jc w:val="center"/>
        <w:rPr>
          <w:rFonts w:hint="eastAsia"/>
          <w:b/>
          <w:color w:val="0000FF"/>
          <w:sz w:val="36"/>
          <w:szCs w:val="36"/>
        </w:rPr>
      </w:pPr>
      <w:r>
        <w:rPr>
          <w:rFonts w:hint="eastAsia"/>
          <w:b/>
          <w:color w:val="0000FF"/>
          <w:sz w:val="36"/>
          <w:szCs w:val="36"/>
          <w:lang w:eastAsia="zh-CN"/>
        </w:rPr>
        <w:t>建筑业统计数据：2024年</w:t>
      </w:r>
      <w:r>
        <w:rPr>
          <w:rFonts w:hint="default"/>
          <w:b/>
          <w:color w:val="0000FF"/>
          <w:sz w:val="36"/>
          <w:szCs w:val="36"/>
          <w:lang w:val="en" w:eastAsia="zh-CN"/>
        </w:rPr>
        <w:t>1-3季</w:t>
      </w:r>
      <w:r>
        <w:rPr>
          <w:rFonts w:hint="eastAsia"/>
          <w:b/>
          <w:color w:val="0000FF"/>
          <w:sz w:val="36"/>
          <w:szCs w:val="36"/>
          <w:lang w:eastAsia="zh-CN"/>
        </w:rPr>
        <w:t>度</w:t>
      </w:r>
      <w:r>
        <w:rPr>
          <w:rFonts w:hint="eastAsia"/>
          <w:b/>
          <w:color w:val="0000FF"/>
          <w:sz w:val="36"/>
          <w:szCs w:val="36"/>
        </w:rPr>
        <w:t>资质建筑业企业</w:t>
      </w:r>
      <w:r>
        <w:rPr>
          <w:rFonts w:hint="eastAsia"/>
          <w:b/>
          <w:color w:val="0000FF"/>
          <w:sz w:val="36"/>
          <w:szCs w:val="36"/>
          <w:lang w:eastAsia="zh-CN"/>
        </w:rPr>
        <w:t>生产</w:t>
      </w:r>
      <w:r>
        <w:rPr>
          <w:rFonts w:hint="eastAsia"/>
          <w:b/>
          <w:color w:val="0000FF"/>
          <w:sz w:val="36"/>
          <w:szCs w:val="36"/>
        </w:rPr>
        <w:t>情况</w:t>
      </w:r>
    </w:p>
    <w:tbl>
      <w:tblPr>
        <w:tblStyle w:val="6"/>
        <w:tblW w:w="132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2"/>
        <w:gridCol w:w="3560"/>
        <w:gridCol w:w="1536"/>
        <w:gridCol w:w="1680"/>
        <w:gridCol w:w="1560"/>
        <w:gridCol w:w="1692"/>
        <w:gridCol w:w="1740"/>
        <w:gridCol w:w="14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exact"/>
        </w:trPr>
        <w:tc>
          <w:tcPr>
            <w:tcW w:w="3592" w:type="dxa"/>
            <w:gridSpan w:val="2"/>
            <w:vMerge w:val="restart"/>
            <w:tcBorders>
              <w:top w:val="single" w:color="auto" w:sz="12" w:space="0"/>
              <w:left w:val="nil"/>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宋体" w:hAnsi="宋体" w:cs="宋体"/>
                <w:kern w:val="0"/>
                <w:sz w:val="24"/>
              </w:rPr>
            </w:pPr>
            <w:r>
              <w:rPr>
                <w:rFonts w:hint="eastAsia" w:ascii="宋体" w:hAnsi="宋体" w:cs="宋体"/>
                <w:kern w:val="0"/>
                <w:sz w:val="24"/>
                <w:lang w:val="en-US" w:eastAsia="zh-CN"/>
              </w:rPr>
              <w:t>指 标 名 称</w:t>
            </w:r>
          </w:p>
        </w:tc>
        <w:tc>
          <w:tcPr>
            <w:tcW w:w="3216" w:type="dxa"/>
            <w:gridSpan w:val="2"/>
            <w:tcBorders>
              <w:top w:val="single" w:color="auto" w:sz="1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宋体" w:hAnsi="宋体" w:cs="宋体"/>
                <w:kern w:val="0"/>
                <w:sz w:val="24"/>
              </w:rPr>
            </w:pPr>
            <w:r>
              <w:rPr>
                <w:rFonts w:hint="eastAsia" w:ascii="宋体" w:hAnsi="宋体" w:cs="宋体"/>
                <w:kern w:val="0"/>
                <w:sz w:val="24"/>
                <w:lang w:val="en-US" w:eastAsia="zh-CN"/>
              </w:rPr>
              <w:t>签订合同额</w:t>
            </w:r>
          </w:p>
        </w:tc>
        <w:tc>
          <w:tcPr>
            <w:tcW w:w="3252" w:type="dxa"/>
            <w:gridSpan w:val="2"/>
            <w:tcBorders>
              <w:top w:val="single" w:color="auto" w:sz="1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宋体" w:hAnsi="宋体" w:cs="宋体"/>
                <w:kern w:val="0"/>
                <w:sz w:val="24"/>
              </w:rPr>
            </w:pPr>
            <w:r>
              <w:rPr>
                <w:rFonts w:hint="eastAsia" w:ascii="宋体" w:hAnsi="宋体" w:cs="宋体"/>
                <w:kern w:val="0"/>
                <w:sz w:val="24"/>
                <w:lang w:val="en-US" w:eastAsia="zh-CN"/>
              </w:rPr>
              <w:t>建筑业总产值</w:t>
            </w:r>
          </w:p>
        </w:tc>
        <w:tc>
          <w:tcPr>
            <w:tcW w:w="3208" w:type="dxa"/>
            <w:gridSpan w:val="2"/>
            <w:tcBorders>
              <w:top w:val="single" w:color="auto" w:sz="12" w:space="0"/>
              <w:left w:val="single" w:color="auto" w:sz="2" w:space="0"/>
              <w:bottom w:val="single" w:color="auto" w:sz="2" w:space="0"/>
              <w:right w:val="nil"/>
            </w:tcBorders>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宋体" w:hAnsi="宋体" w:cs="宋体"/>
                <w:kern w:val="0"/>
                <w:sz w:val="24"/>
              </w:rPr>
            </w:pPr>
            <w:r>
              <w:rPr>
                <w:rFonts w:hint="eastAsia" w:ascii="宋体" w:hAnsi="宋体" w:cs="宋体"/>
                <w:kern w:val="0"/>
                <w:sz w:val="24"/>
                <w:lang w:val="en-US" w:eastAsia="zh-CN"/>
              </w:rPr>
              <w:t>竣工产值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7" w:hRule="exact"/>
        </w:trPr>
        <w:tc>
          <w:tcPr>
            <w:tcW w:w="3592" w:type="dxa"/>
            <w:gridSpan w:val="2"/>
            <w:vMerge w:val="continue"/>
            <w:tcBorders>
              <w:top w:val="single" w:color="auto" w:sz="2" w:space="0"/>
              <w:left w:val="nil"/>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宋体" w:hAnsi="宋体" w:cs="宋体"/>
                <w:kern w:val="0"/>
                <w:sz w:val="24"/>
              </w:rPr>
            </w:pPr>
          </w:p>
        </w:tc>
        <w:tc>
          <w:tcPr>
            <w:tcW w:w="1536"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val="0"/>
              <w:snapToGrid w:val="0"/>
              <w:spacing w:line="160" w:lineRule="atLeast"/>
              <w:jc w:val="center"/>
              <w:textAlignment w:val="auto"/>
              <w:rPr>
                <w:rFonts w:hint="eastAsia" w:ascii="宋体" w:hAnsi="宋体" w:cs="宋体"/>
                <w:kern w:val="0"/>
                <w:sz w:val="24"/>
              </w:rPr>
            </w:pPr>
            <w:r>
              <w:rPr>
                <w:rFonts w:hint="eastAsia" w:ascii="宋体" w:hAnsi="宋体" w:cs="宋体"/>
                <w:kern w:val="0"/>
                <w:sz w:val="24"/>
                <w:lang w:val="en-US" w:eastAsia="zh-CN"/>
              </w:rPr>
              <w:t>本期累计</w:t>
            </w:r>
            <w:r>
              <w:rPr>
                <w:rFonts w:hint="eastAsia" w:ascii="宋体" w:hAnsi="宋体" w:cs="宋体"/>
                <w:kern w:val="0"/>
                <w:sz w:val="24"/>
                <w:lang w:val="en-US" w:eastAsia="zh-CN"/>
              </w:rPr>
              <w:br w:type="textWrapping"/>
            </w:r>
            <w:r>
              <w:rPr>
                <w:rFonts w:hint="eastAsia" w:ascii="宋体" w:hAnsi="宋体" w:cs="宋体"/>
                <w:kern w:val="0"/>
                <w:sz w:val="24"/>
                <w:lang w:val="en-US" w:eastAsia="zh-CN"/>
              </w:rPr>
              <w:t>（万元）</w:t>
            </w:r>
          </w:p>
        </w:tc>
        <w:tc>
          <w:tcPr>
            <w:tcW w:w="168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val="0"/>
              <w:snapToGrid w:val="0"/>
              <w:spacing w:line="160" w:lineRule="atLeast"/>
              <w:jc w:val="center"/>
              <w:textAlignment w:val="auto"/>
              <w:rPr>
                <w:rFonts w:hint="eastAsia" w:ascii="宋体" w:hAnsi="宋体" w:cs="宋体"/>
                <w:kern w:val="0"/>
                <w:sz w:val="24"/>
              </w:rPr>
            </w:pPr>
            <w:r>
              <w:rPr>
                <w:rFonts w:hint="eastAsia" w:ascii="宋体" w:hAnsi="宋体" w:cs="宋体"/>
                <w:kern w:val="0"/>
                <w:sz w:val="24"/>
                <w:lang w:val="en-US" w:eastAsia="zh-CN"/>
              </w:rPr>
              <w:t>同比增长</w:t>
            </w:r>
            <w:r>
              <w:rPr>
                <w:rFonts w:hint="eastAsia" w:ascii="宋体" w:hAnsi="宋体" w:cs="宋体"/>
                <w:kern w:val="0"/>
                <w:sz w:val="24"/>
                <w:lang w:val="en-US" w:eastAsia="zh-CN"/>
              </w:rPr>
              <w:br w:type="textWrapping"/>
            </w:r>
            <w:r>
              <w:rPr>
                <w:rFonts w:hint="eastAsia" w:ascii="宋体" w:hAnsi="宋体" w:cs="宋体"/>
                <w:kern w:val="0"/>
                <w:sz w:val="24"/>
                <w:lang w:val="en-US" w:eastAsia="zh-CN"/>
              </w:rPr>
              <w:t>（%）</w:t>
            </w:r>
          </w:p>
        </w:tc>
        <w:tc>
          <w:tcPr>
            <w:tcW w:w="156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val="0"/>
              <w:snapToGrid w:val="0"/>
              <w:spacing w:line="160" w:lineRule="atLeast"/>
              <w:jc w:val="center"/>
              <w:textAlignment w:val="auto"/>
              <w:rPr>
                <w:rFonts w:hint="eastAsia" w:ascii="宋体" w:hAnsi="宋体" w:cs="宋体"/>
                <w:kern w:val="0"/>
                <w:sz w:val="24"/>
              </w:rPr>
            </w:pPr>
            <w:r>
              <w:rPr>
                <w:rFonts w:hint="eastAsia" w:ascii="宋体" w:hAnsi="宋体" w:cs="宋体"/>
                <w:kern w:val="0"/>
                <w:sz w:val="24"/>
                <w:lang w:val="en-US" w:eastAsia="zh-CN"/>
              </w:rPr>
              <w:t>本期累计</w:t>
            </w:r>
            <w:r>
              <w:rPr>
                <w:rFonts w:hint="eastAsia" w:ascii="宋体" w:hAnsi="宋体" w:cs="宋体"/>
                <w:kern w:val="0"/>
                <w:sz w:val="24"/>
                <w:lang w:val="en-US" w:eastAsia="zh-CN"/>
              </w:rPr>
              <w:br w:type="textWrapping"/>
            </w:r>
            <w:r>
              <w:rPr>
                <w:rFonts w:hint="eastAsia" w:ascii="宋体" w:hAnsi="宋体" w:cs="宋体"/>
                <w:kern w:val="0"/>
                <w:sz w:val="24"/>
                <w:lang w:val="en-US" w:eastAsia="zh-CN"/>
              </w:rPr>
              <w:t>（万元）</w:t>
            </w:r>
          </w:p>
        </w:tc>
        <w:tc>
          <w:tcPr>
            <w:tcW w:w="1692"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val="0"/>
              <w:snapToGrid w:val="0"/>
              <w:spacing w:line="160" w:lineRule="atLeast"/>
              <w:jc w:val="center"/>
              <w:textAlignment w:val="auto"/>
              <w:rPr>
                <w:rFonts w:hint="eastAsia" w:ascii="宋体" w:hAnsi="宋体" w:cs="宋体"/>
                <w:kern w:val="0"/>
                <w:sz w:val="24"/>
              </w:rPr>
            </w:pPr>
            <w:r>
              <w:rPr>
                <w:rFonts w:hint="eastAsia" w:ascii="宋体" w:hAnsi="宋体" w:cs="宋体"/>
                <w:kern w:val="0"/>
                <w:sz w:val="24"/>
                <w:lang w:val="en-US" w:eastAsia="zh-CN"/>
              </w:rPr>
              <w:t>同比增长</w:t>
            </w:r>
            <w:r>
              <w:rPr>
                <w:rFonts w:hint="eastAsia" w:ascii="宋体" w:hAnsi="宋体" w:cs="宋体"/>
                <w:kern w:val="0"/>
                <w:sz w:val="24"/>
                <w:lang w:val="en-US" w:eastAsia="zh-CN"/>
              </w:rPr>
              <w:br w:type="textWrapping"/>
            </w:r>
            <w:r>
              <w:rPr>
                <w:rFonts w:hint="eastAsia" w:ascii="宋体" w:hAnsi="宋体" w:cs="宋体"/>
                <w:kern w:val="0"/>
                <w:sz w:val="24"/>
                <w:lang w:val="en-US" w:eastAsia="zh-CN"/>
              </w:rPr>
              <w:t>（%）</w:t>
            </w:r>
          </w:p>
        </w:tc>
        <w:tc>
          <w:tcPr>
            <w:tcW w:w="174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val="0"/>
              <w:snapToGrid w:val="0"/>
              <w:spacing w:line="160" w:lineRule="atLeast"/>
              <w:jc w:val="center"/>
              <w:textAlignment w:val="auto"/>
              <w:rPr>
                <w:rFonts w:hint="eastAsia" w:ascii="宋体" w:hAnsi="宋体" w:cs="宋体"/>
                <w:kern w:val="0"/>
                <w:sz w:val="24"/>
              </w:rPr>
            </w:pPr>
            <w:r>
              <w:rPr>
                <w:rFonts w:hint="eastAsia" w:ascii="宋体" w:hAnsi="宋体" w:cs="宋体"/>
                <w:kern w:val="0"/>
                <w:sz w:val="24"/>
                <w:lang w:val="en-US" w:eastAsia="zh-CN"/>
              </w:rPr>
              <w:t>本期累计</w:t>
            </w:r>
            <w:r>
              <w:rPr>
                <w:rFonts w:hint="eastAsia" w:ascii="宋体" w:hAnsi="宋体" w:cs="宋体"/>
                <w:kern w:val="0"/>
                <w:sz w:val="24"/>
                <w:lang w:val="en-US" w:eastAsia="zh-CN"/>
              </w:rPr>
              <w:br w:type="textWrapping"/>
            </w:r>
            <w:r>
              <w:rPr>
                <w:rFonts w:hint="eastAsia" w:ascii="宋体" w:hAnsi="宋体" w:cs="宋体"/>
                <w:kern w:val="0"/>
                <w:sz w:val="24"/>
                <w:lang w:val="en-US" w:eastAsia="zh-CN"/>
              </w:rPr>
              <w:t>（万元）</w:t>
            </w:r>
          </w:p>
        </w:tc>
        <w:tc>
          <w:tcPr>
            <w:tcW w:w="1468" w:type="dxa"/>
            <w:tcBorders>
              <w:top w:val="single" w:color="auto" w:sz="2" w:space="0"/>
              <w:left w:val="single" w:color="auto" w:sz="2" w:space="0"/>
              <w:bottom w:val="single" w:color="auto" w:sz="2"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line="160" w:lineRule="atLeast"/>
              <w:jc w:val="center"/>
              <w:textAlignment w:val="auto"/>
              <w:rPr>
                <w:rFonts w:hint="eastAsia" w:ascii="宋体" w:hAnsi="宋体" w:cs="宋体"/>
                <w:kern w:val="0"/>
                <w:sz w:val="24"/>
              </w:rPr>
            </w:pPr>
            <w:r>
              <w:rPr>
                <w:rFonts w:hint="eastAsia" w:ascii="宋体" w:hAnsi="宋体" w:cs="宋体"/>
                <w:kern w:val="0"/>
                <w:sz w:val="24"/>
                <w:lang w:val="en-US" w:eastAsia="zh-CN"/>
              </w:rPr>
              <w:t>同比增长</w:t>
            </w:r>
            <w:r>
              <w:rPr>
                <w:rFonts w:hint="eastAsia" w:ascii="宋体" w:hAnsi="宋体" w:cs="宋体"/>
                <w:kern w:val="0"/>
                <w:sz w:val="24"/>
                <w:lang w:val="en-US" w:eastAsia="zh-CN"/>
              </w:rPr>
              <w:br w:type="textWrapping"/>
            </w:r>
            <w:r>
              <w:rPr>
                <w:rFonts w:hint="eastAsia" w:ascii="宋体" w:hAnsi="宋体" w:cs="宋体"/>
                <w:kern w:val="0"/>
                <w:sz w:val="24"/>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exact"/>
        </w:trPr>
        <w:tc>
          <w:tcPr>
            <w:tcW w:w="3592" w:type="dxa"/>
            <w:gridSpan w:val="2"/>
            <w:tcBorders>
              <w:top w:val="single" w:color="auto" w:sz="2" w:space="0"/>
              <w:left w:val="nil"/>
              <w:bottom w:val="nil"/>
              <w:right w:val="single" w:color="auto" w:sz="2"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bCs w:val="0"/>
                <w:i w:val="0"/>
                <w:color w:val="000000"/>
                <w:sz w:val="24"/>
                <w:szCs w:val="24"/>
                <w:u w:val="none"/>
              </w:rPr>
            </w:pPr>
            <w:r>
              <w:rPr>
                <w:rFonts w:hint="eastAsia" w:ascii="宋体" w:hAnsi="宋体" w:eastAsia="宋体" w:cs="宋体"/>
                <w:b/>
                <w:bCs w:val="0"/>
                <w:i w:val="0"/>
                <w:color w:val="000000"/>
                <w:kern w:val="0"/>
                <w:sz w:val="24"/>
                <w:szCs w:val="24"/>
                <w:u w:val="none"/>
                <w:lang w:val="en-US" w:eastAsia="zh-CN" w:bidi="ar-SA"/>
              </w:rPr>
              <w:t>全区合计</w:t>
            </w:r>
          </w:p>
        </w:tc>
        <w:tc>
          <w:tcPr>
            <w:tcW w:w="1536" w:type="dxa"/>
            <w:tcBorders>
              <w:top w:val="single" w:color="auto" w:sz="2" w:space="0"/>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b/>
                <w:bCs/>
                <w:i w:val="0"/>
                <w:color w:val="000000"/>
                <w:kern w:val="0"/>
                <w:sz w:val="24"/>
                <w:szCs w:val="24"/>
                <w:u w:val="none"/>
                <w:lang w:val="en-US" w:eastAsia="zh-CN" w:bidi="ar-SA"/>
              </w:rPr>
            </w:pPr>
            <w:r>
              <w:rPr>
                <w:rFonts w:hint="eastAsia" w:asciiTheme="minorEastAsia" w:hAnsiTheme="minorEastAsia" w:eastAsiaTheme="minorEastAsia" w:cstheme="minorEastAsia"/>
                <w:b/>
                <w:i w:val="0"/>
                <w:color w:val="000000"/>
                <w:kern w:val="0"/>
                <w:sz w:val="24"/>
                <w:szCs w:val="24"/>
                <w:u w:val="none"/>
                <w:lang w:val="en-US" w:eastAsia="zh-CN" w:bidi="ar"/>
              </w:rPr>
              <w:t xml:space="preserve">2590137 </w:t>
            </w:r>
          </w:p>
        </w:tc>
        <w:tc>
          <w:tcPr>
            <w:tcW w:w="1680" w:type="dxa"/>
            <w:tcBorders>
              <w:top w:val="single" w:color="auto" w:sz="2" w:space="0"/>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b/>
                <w:bCs/>
                <w:i w:val="0"/>
                <w:color w:val="000000"/>
                <w:kern w:val="0"/>
                <w:sz w:val="24"/>
                <w:szCs w:val="24"/>
                <w:u w:val="none"/>
                <w:lang w:val="en-US" w:eastAsia="zh-CN" w:bidi="ar-SA"/>
              </w:rPr>
            </w:pPr>
            <w:r>
              <w:rPr>
                <w:rFonts w:hint="eastAsia" w:asciiTheme="minorEastAsia" w:hAnsiTheme="minorEastAsia" w:eastAsiaTheme="minorEastAsia" w:cstheme="minorEastAsia"/>
                <w:b/>
                <w:i w:val="0"/>
                <w:color w:val="000000"/>
                <w:kern w:val="0"/>
                <w:sz w:val="24"/>
                <w:szCs w:val="24"/>
                <w:u w:val="none"/>
                <w:lang w:val="en-US" w:eastAsia="zh-CN" w:bidi="ar"/>
              </w:rPr>
              <w:t xml:space="preserve">16.8 </w:t>
            </w:r>
          </w:p>
        </w:tc>
        <w:tc>
          <w:tcPr>
            <w:tcW w:w="1560" w:type="dxa"/>
            <w:tcBorders>
              <w:top w:val="single" w:color="auto" w:sz="2" w:space="0"/>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b/>
                <w:bCs/>
                <w:i w:val="0"/>
                <w:color w:val="000000"/>
                <w:kern w:val="0"/>
                <w:sz w:val="24"/>
                <w:szCs w:val="24"/>
                <w:u w:val="none"/>
                <w:lang w:val="en-US" w:eastAsia="zh-CN" w:bidi="ar-SA"/>
              </w:rPr>
            </w:pPr>
            <w:r>
              <w:rPr>
                <w:rFonts w:hint="eastAsia" w:asciiTheme="minorEastAsia" w:hAnsiTheme="minorEastAsia" w:eastAsiaTheme="minorEastAsia" w:cstheme="minorEastAsia"/>
                <w:b/>
                <w:i w:val="0"/>
                <w:color w:val="000000"/>
                <w:kern w:val="0"/>
                <w:sz w:val="24"/>
                <w:szCs w:val="24"/>
                <w:u w:val="none"/>
                <w:lang w:val="en-US" w:eastAsia="zh-CN" w:bidi="ar"/>
              </w:rPr>
              <w:t xml:space="preserve">1175978 </w:t>
            </w:r>
          </w:p>
        </w:tc>
        <w:tc>
          <w:tcPr>
            <w:tcW w:w="1692" w:type="dxa"/>
            <w:tcBorders>
              <w:top w:val="single" w:color="auto" w:sz="2" w:space="0"/>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b/>
                <w:bCs/>
                <w:i w:val="0"/>
                <w:color w:val="000000"/>
                <w:kern w:val="0"/>
                <w:sz w:val="24"/>
                <w:szCs w:val="24"/>
                <w:u w:val="none"/>
                <w:lang w:val="en-US" w:eastAsia="zh-CN" w:bidi="ar-SA"/>
              </w:rPr>
            </w:pPr>
            <w:r>
              <w:rPr>
                <w:rFonts w:hint="eastAsia" w:asciiTheme="minorEastAsia" w:hAnsiTheme="minorEastAsia" w:eastAsiaTheme="minorEastAsia" w:cstheme="minorEastAsia"/>
                <w:b/>
                <w:i w:val="0"/>
                <w:color w:val="000000"/>
                <w:kern w:val="0"/>
                <w:sz w:val="24"/>
                <w:szCs w:val="24"/>
                <w:u w:val="none"/>
                <w:lang w:val="en-US" w:eastAsia="zh-CN" w:bidi="ar"/>
              </w:rPr>
              <w:t xml:space="preserve">4.2 </w:t>
            </w:r>
          </w:p>
        </w:tc>
        <w:tc>
          <w:tcPr>
            <w:tcW w:w="1740" w:type="dxa"/>
            <w:tcBorders>
              <w:top w:val="single" w:color="auto" w:sz="2" w:space="0"/>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b/>
                <w:bCs/>
                <w:i w:val="0"/>
                <w:color w:val="000000"/>
                <w:kern w:val="0"/>
                <w:sz w:val="24"/>
                <w:szCs w:val="24"/>
                <w:u w:val="none"/>
                <w:lang w:val="en-US" w:eastAsia="zh-CN" w:bidi="ar-SA"/>
              </w:rPr>
            </w:pPr>
            <w:r>
              <w:rPr>
                <w:rFonts w:hint="eastAsia" w:asciiTheme="minorEastAsia" w:hAnsiTheme="minorEastAsia" w:eastAsiaTheme="minorEastAsia" w:cstheme="minorEastAsia"/>
                <w:b/>
                <w:i w:val="0"/>
                <w:color w:val="000000"/>
                <w:kern w:val="0"/>
                <w:sz w:val="24"/>
                <w:szCs w:val="24"/>
                <w:u w:val="none"/>
                <w:lang w:val="en-US" w:eastAsia="zh-CN" w:bidi="ar"/>
              </w:rPr>
              <w:t xml:space="preserve">753304 </w:t>
            </w:r>
          </w:p>
        </w:tc>
        <w:tc>
          <w:tcPr>
            <w:tcW w:w="1468" w:type="dxa"/>
            <w:tcBorders>
              <w:top w:val="single" w:color="auto" w:sz="2" w:space="0"/>
              <w:left w:val="single" w:color="auto" w:sz="2"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b/>
                <w:bCs/>
                <w:i w:val="0"/>
                <w:color w:val="000000"/>
                <w:kern w:val="0"/>
                <w:sz w:val="24"/>
                <w:szCs w:val="24"/>
                <w:u w:val="none"/>
                <w:lang w:val="en-US" w:eastAsia="zh-CN" w:bidi="ar-SA"/>
              </w:rPr>
            </w:pPr>
            <w:r>
              <w:rPr>
                <w:rFonts w:hint="eastAsia" w:asciiTheme="minorEastAsia" w:hAnsiTheme="minorEastAsia" w:eastAsiaTheme="minorEastAsia" w:cstheme="minorEastAsia"/>
                <w:b/>
                <w:i w:val="0"/>
                <w:color w:val="000000"/>
                <w:kern w:val="0"/>
                <w:sz w:val="24"/>
                <w:szCs w:val="24"/>
                <w:u w:val="none"/>
                <w:lang w:val="en-US" w:eastAsia="zh-CN" w:bidi="ar"/>
              </w:rPr>
              <w:t xml:space="preserve">59.3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exact"/>
        </w:trPr>
        <w:tc>
          <w:tcPr>
            <w:tcW w:w="3592" w:type="dxa"/>
            <w:gridSpan w:val="2"/>
            <w:tcBorders>
              <w:top w:val="nil"/>
              <w:left w:val="nil"/>
              <w:bottom w:val="nil"/>
              <w:right w:val="single" w:color="auto" w:sz="2"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 xml:space="preserve">  按行业类别</w:t>
            </w:r>
          </w:p>
        </w:tc>
        <w:tc>
          <w:tcPr>
            <w:tcW w:w="1536" w:type="dxa"/>
            <w:tcBorders>
              <w:top w:val="nil"/>
              <w:left w:val="single" w:color="auto" w:sz="2" w:space="0"/>
              <w:bottom w:val="nil"/>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right"/>
              <w:rPr>
                <w:rFonts w:hint="eastAsia" w:asciiTheme="minorEastAsia" w:hAnsiTheme="minorEastAsia" w:eastAsiaTheme="minorEastAsia" w:cstheme="minorEastAsia"/>
                <w:i w:val="0"/>
                <w:color w:val="000000"/>
                <w:kern w:val="0"/>
                <w:sz w:val="24"/>
                <w:szCs w:val="24"/>
                <w:u w:val="none"/>
                <w:lang w:val="en-US" w:eastAsia="zh-CN" w:bidi="ar-SA"/>
              </w:rPr>
            </w:pPr>
          </w:p>
        </w:tc>
        <w:tc>
          <w:tcPr>
            <w:tcW w:w="1680" w:type="dxa"/>
            <w:tcBorders>
              <w:top w:val="nil"/>
              <w:left w:val="single" w:color="auto" w:sz="2" w:space="0"/>
              <w:bottom w:val="nil"/>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right"/>
              <w:rPr>
                <w:rFonts w:hint="eastAsia" w:asciiTheme="minorEastAsia" w:hAnsiTheme="minorEastAsia" w:eastAsiaTheme="minorEastAsia" w:cstheme="minorEastAsia"/>
                <w:i w:val="0"/>
                <w:color w:val="000000"/>
                <w:kern w:val="0"/>
                <w:sz w:val="24"/>
                <w:szCs w:val="24"/>
                <w:u w:val="none"/>
                <w:lang w:val="en-US" w:eastAsia="zh-CN" w:bidi="ar-SA"/>
              </w:rPr>
            </w:pPr>
          </w:p>
        </w:tc>
        <w:tc>
          <w:tcPr>
            <w:tcW w:w="1560" w:type="dxa"/>
            <w:tcBorders>
              <w:top w:val="nil"/>
              <w:left w:val="single" w:color="auto" w:sz="2" w:space="0"/>
              <w:bottom w:val="nil"/>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right"/>
              <w:rPr>
                <w:rFonts w:hint="eastAsia" w:asciiTheme="minorEastAsia" w:hAnsiTheme="minorEastAsia" w:eastAsiaTheme="minorEastAsia" w:cstheme="minorEastAsia"/>
                <w:i w:val="0"/>
                <w:color w:val="000000"/>
                <w:kern w:val="0"/>
                <w:sz w:val="24"/>
                <w:szCs w:val="24"/>
                <w:u w:val="none"/>
                <w:lang w:val="en-US" w:eastAsia="zh-CN" w:bidi="ar-SA"/>
              </w:rPr>
            </w:pPr>
          </w:p>
        </w:tc>
        <w:tc>
          <w:tcPr>
            <w:tcW w:w="1692" w:type="dxa"/>
            <w:tcBorders>
              <w:top w:val="nil"/>
              <w:left w:val="single" w:color="auto" w:sz="2" w:space="0"/>
              <w:bottom w:val="nil"/>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right"/>
              <w:rPr>
                <w:rFonts w:hint="eastAsia" w:asciiTheme="minorEastAsia" w:hAnsiTheme="minorEastAsia" w:eastAsiaTheme="minorEastAsia" w:cstheme="minorEastAsia"/>
                <w:i w:val="0"/>
                <w:color w:val="000000"/>
                <w:kern w:val="0"/>
                <w:sz w:val="24"/>
                <w:szCs w:val="24"/>
                <w:u w:val="none"/>
                <w:lang w:val="en-US" w:eastAsia="zh-CN" w:bidi="ar-SA"/>
              </w:rPr>
            </w:pPr>
          </w:p>
        </w:tc>
        <w:tc>
          <w:tcPr>
            <w:tcW w:w="1740" w:type="dxa"/>
            <w:tcBorders>
              <w:top w:val="nil"/>
              <w:left w:val="single" w:color="auto" w:sz="2" w:space="0"/>
              <w:bottom w:val="nil"/>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right"/>
              <w:rPr>
                <w:rFonts w:hint="eastAsia" w:asciiTheme="minorEastAsia" w:hAnsiTheme="minorEastAsia" w:eastAsiaTheme="minorEastAsia" w:cstheme="minorEastAsia"/>
                <w:i w:val="0"/>
                <w:color w:val="000000"/>
                <w:kern w:val="0"/>
                <w:sz w:val="24"/>
                <w:szCs w:val="24"/>
                <w:u w:val="none"/>
                <w:lang w:val="en-US" w:eastAsia="zh-CN" w:bidi="ar-SA"/>
              </w:rPr>
            </w:pPr>
          </w:p>
        </w:tc>
        <w:tc>
          <w:tcPr>
            <w:tcW w:w="1468" w:type="dxa"/>
            <w:tcBorders>
              <w:top w:val="nil"/>
              <w:left w:val="single" w:color="auto" w:sz="2" w:space="0"/>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520" w:lineRule="exact"/>
              <w:jc w:val="right"/>
              <w:rPr>
                <w:rFonts w:hint="eastAsia" w:asciiTheme="minorEastAsia" w:hAnsiTheme="minorEastAsia" w:eastAsiaTheme="minorEastAsia" w:cstheme="minorEastAsia"/>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exact"/>
        </w:trPr>
        <w:tc>
          <w:tcPr>
            <w:tcW w:w="3592" w:type="dxa"/>
            <w:gridSpan w:val="2"/>
            <w:tcBorders>
              <w:top w:val="nil"/>
              <w:left w:val="nil"/>
              <w:bottom w:val="nil"/>
              <w:right w:val="single" w:color="auto" w:sz="2"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房屋建筑业</w:t>
            </w:r>
          </w:p>
        </w:tc>
        <w:tc>
          <w:tcPr>
            <w:tcW w:w="1536"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989117 </w:t>
            </w:r>
          </w:p>
        </w:tc>
        <w:tc>
          <w:tcPr>
            <w:tcW w:w="168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35.8 </w:t>
            </w:r>
          </w:p>
        </w:tc>
        <w:tc>
          <w:tcPr>
            <w:tcW w:w="156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292696 </w:t>
            </w:r>
          </w:p>
        </w:tc>
        <w:tc>
          <w:tcPr>
            <w:tcW w:w="1692"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16.0 </w:t>
            </w:r>
          </w:p>
        </w:tc>
        <w:tc>
          <w:tcPr>
            <w:tcW w:w="174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245560 </w:t>
            </w:r>
          </w:p>
        </w:tc>
        <w:tc>
          <w:tcPr>
            <w:tcW w:w="1468" w:type="dxa"/>
            <w:tcBorders>
              <w:top w:val="nil"/>
              <w:left w:val="single" w:color="auto" w:sz="2"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65.2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exact"/>
        </w:trPr>
        <w:tc>
          <w:tcPr>
            <w:tcW w:w="3592" w:type="dxa"/>
            <w:gridSpan w:val="2"/>
            <w:tcBorders>
              <w:top w:val="nil"/>
              <w:left w:val="nil"/>
              <w:bottom w:val="nil"/>
              <w:right w:val="single" w:color="auto" w:sz="2"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土木工程建筑业</w:t>
            </w:r>
          </w:p>
        </w:tc>
        <w:tc>
          <w:tcPr>
            <w:tcW w:w="1536"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1050346 </w:t>
            </w:r>
          </w:p>
        </w:tc>
        <w:tc>
          <w:tcPr>
            <w:tcW w:w="168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3.2 </w:t>
            </w:r>
          </w:p>
        </w:tc>
        <w:tc>
          <w:tcPr>
            <w:tcW w:w="156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506527 </w:t>
            </w:r>
          </w:p>
        </w:tc>
        <w:tc>
          <w:tcPr>
            <w:tcW w:w="1692"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-4.8 </w:t>
            </w:r>
          </w:p>
        </w:tc>
        <w:tc>
          <w:tcPr>
            <w:tcW w:w="174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329408 </w:t>
            </w:r>
          </w:p>
        </w:tc>
        <w:tc>
          <w:tcPr>
            <w:tcW w:w="1468" w:type="dxa"/>
            <w:tcBorders>
              <w:top w:val="nil"/>
              <w:left w:val="single" w:color="auto" w:sz="2"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66.8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exact"/>
        </w:trPr>
        <w:tc>
          <w:tcPr>
            <w:tcW w:w="3592" w:type="dxa"/>
            <w:gridSpan w:val="2"/>
            <w:tcBorders>
              <w:top w:val="nil"/>
              <w:left w:val="nil"/>
              <w:bottom w:val="nil"/>
              <w:right w:val="single" w:color="auto" w:sz="2"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建筑安装业</w:t>
            </w:r>
          </w:p>
        </w:tc>
        <w:tc>
          <w:tcPr>
            <w:tcW w:w="1536"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140839 </w:t>
            </w:r>
          </w:p>
        </w:tc>
        <w:tc>
          <w:tcPr>
            <w:tcW w:w="168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12.6 </w:t>
            </w:r>
          </w:p>
        </w:tc>
        <w:tc>
          <w:tcPr>
            <w:tcW w:w="156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55553 </w:t>
            </w:r>
          </w:p>
        </w:tc>
        <w:tc>
          <w:tcPr>
            <w:tcW w:w="1692"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6.8 </w:t>
            </w:r>
          </w:p>
        </w:tc>
        <w:tc>
          <w:tcPr>
            <w:tcW w:w="174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13012 </w:t>
            </w:r>
          </w:p>
        </w:tc>
        <w:tc>
          <w:tcPr>
            <w:tcW w:w="1468" w:type="dxa"/>
            <w:tcBorders>
              <w:top w:val="nil"/>
              <w:left w:val="single" w:color="auto" w:sz="2"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28.5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exact"/>
        </w:trPr>
        <w:tc>
          <w:tcPr>
            <w:tcW w:w="3592" w:type="dxa"/>
            <w:gridSpan w:val="2"/>
            <w:tcBorders>
              <w:top w:val="nil"/>
              <w:left w:val="nil"/>
              <w:bottom w:val="nil"/>
              <w:right w:val="single" w:color="auto" w:sz="2"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建筑装饰、装修和其他建筑业</w:t>
            </w:r>
          </w:p>
        </w:tc>
        <w:tc>
          <w:tcPr>
            <w:tcW w:w="1536"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409836 </w:t>
            </w:r>
          </w:p>
        </w:tc>
        <w:tc>
          <w:tcPr>
            <w:tcW w:w="168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18.3 </w:t>
            </w:r>
          </w:p>
        </w:tc>
        <w:tc>
          <w:tcPr>
            <w:tcW w:w="156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321202 </w:t>
            </w:r>
          </w:p>
        </w:tc>
        <w:tc>
          <w:tcPr>
            <w:tcW w:w="1692"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9.9 </w:t>
            </w:r>
          </w:p>
        </w:tc>
        <w:tc>
          <w:tcPr>
            <w:tcW w:w="174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165325 </w:t>
            </w:r>
          </w:p>
        </w:tc>
        <w:tc>
          <w:tcPr>
            <w:tcW w:w="1468" w:type="dxa"/>
            <w:tcBorders>
              <w:top w:val="nil"/>
              <w:left w:val="single" w:color="auto" w:sz="2"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41.9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exact"/>
        </w:trPr>
        <w:tc>
          <w:tcPr>
            <w:tcW w:w="3592" w:type="dxa"/>
            <w:gridSpan w:val="2"/>
            <w:tcBorders>
              <w:top w:val="nil"/>
              <w:left w:val="nil"/>
              <w:bottom w:val="nil"/>
              <w:right w:val="single" w:color="auto" w:sz="2"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 xml:space="preserve">  按资质等级</w:t>
            </w:r>
          </w:p>
        </w:tc>
        <w:tc>
          <w:tcPr>
            <w:tcW w:w="1536" w:type="dxa"/>
            <w:tcBorders>
              <w:top w:val="nil"/>
              <w:left w:val="single" w:color="auto" w:sz="2" w:space="0"/>
              <w:bottom w:val="nil"/>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right"/>
              <w:rPr>
                <w:rFonts w:hint="eastAsia" w:asciiTheme="minorEastAsia" w:hAnsiTheme="minorEastAsia" w:eastAsiaTheme="minorEastAsia" w:cstheme="minorEastAsia"/>
                <w:i w:val="0"/>
                <w:color w:val="000000"/>
                <w:kern w:val="0"/>
                <w:sz w:val="24"/>
                <w:szCs w:val="24"/>
                <w:u w:val="none"/>
                <w:lang w:val="en-US" w:eastAsia="zh-CN" w:bidi="ar-SA"/>
              </w:rPr>
            </w:pPr>
          </w:p>
        </w:tc>
        <w:tc>
          <w:tcPr>
            <w:tcW w:w="1680" w:type="dxa"/>
            <w:tcBorders>
              <w:top w:val="nil"/>
              <w:left w:val="single" w:color="auto" w:sz="2" w:space="0"/>
              <w:bottom w:val="nil"/>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right"/>
              <w:rPr>
                <w:rFonts w:hint="eastAsia" w:asciiTheme="minorEastAsia" w:hAnsiTheme="minorEastAsia" w:eastAsiaTheme="minorEastAsia" w:cstheme="minorEastAsia"/>
                <w:i w:val="0"/>
                <w:color w:val="000000"/>
                <w:kern w:val="0"/>
                <w:sz w:val="24"/>
                <w:szCs w:val="24"/>
                <w:u w:val="none"/>
                <w:lang w:val="en-US" w:eastAsia="zh-CN" w:bidi="ar-SA"/>
              </w:rPr>
            </w:pPr>
          </w:p>
        </w:tc>
        <w:tc>
          <w:tcPr>
            <w:tcW w:w="1560" w:type="dxa"/>
            <w:tcBorders>
              <w:top w:val="nil"/>
              <w:left w:val="single" w:color="auto" w:sz="2" w:space="0"/>
              <w:bottom w:val="nil"/>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right"/>
              <w:rPr>
                <w:rFonts w:hint="eastAsia" w:asciiTheme="minorEastAsia" w:hAnsiTheme="minorEastAsia" w:eastAsiaTheme="minorEastAsia" w:cstheme="minorEastAsia"/>
                <w:i w:val="0"/>
                <w:color w:val="000000"/>
                <w:kern w:val="0"/>
                <w:sz w:val="24"/>
                <w:szCs w:val="24"/>
                <w:u w:val="none"/>
                <w:lang w:val="en-US" w:eastAsia="zh-CN" w:bidi="ar-SA"/>
              </w:rPr>
            </w:pPr>
          </w:p>
        </w:tc>
        <w:tc>
          <w:tcPr>
            <w:tcW w:w="1692" w:type="dxa"/>
            <w:tcBorders>
              <w:top w:val="nil"/>
              <w:left w:val="single" w:color="auto" w:sz="2" w:space="0"/>
              <w:bottom w:val="nil"/>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right"/>
              <w:rPr>
                <w:rFonts w:hint="eastAsia" w:asciiTheme="minorEastAsia" w:hAnsiTheme="minorEastAsia" w:eastAsiaTheme="minorEastAsia" w:cstheme="minorEastAsia"/>
                <w:i w:val="0"/>
                <w:color w:val="000000"/>
                <w:kern w:val="0"/>
                <w:sz w:val="24"/>
                <w:szCs w:val="24"/>
                <w:u w:val="none"/>
                <w:lang w:val="en-US" w:eastAsia="zh-CN" w:bidi="ar-SA"/>
              </w:rPr>
            </w:pPr>
          </w:p>
        </w:tc>
        <w:tc>
          <w:tcPr>
            <w:tcW w:w="1740" w:type="dxa"/>
            <w:tcBorders>
              <w:top w:val="nil"/>
              <w:left w:val="single" w:color="auto" w:sz="2" w:space="0"/>
              <w:bottom w:val="nil"/>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right"/>
              <w:rPr>
                <w:rFonts w:hint="eastAsia" w:asciiTheme="minorEastAsia" w:hAnsiTheme="minorEastAsia" w:eastAsiaTheme="minorEastAsia" w:cstheme="minorEastAsia"/>
                <w:i w:val="0"/>
                <w:color w:val="000000"/>
                <w:kern w:val="0"/>
                <w:sz w:val="24"/>
                <w:szCs w:val="24"/>
                <w:u w:val="none"/>
                <w:lang w:val="en-US" w:eastAsia="zh-CN" w:bidi="ar-SA"/>
              </w:rPr>
            </w:pPr>
          </w:p>
        </w:tc>
        <w:tc>
          <w:tcPr>
            <w:tcW w:w="1468" w:type="dxa"/>
            <w:tcBorders>
              <w:top w:val="nil"/>
              <w:left w:val="single" w:color="auto" w:sz="2" w:space="0"/>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520" w:lineRule="exact"/>
              <w:jc w:val="right"/>
              <w:rPr>
                <w:rFonts w:hint="eastAsia" w:asciiTheme="minorEastAsia" w:hAnsiTheme="minorEastAsia" w:eastAsiaTheme="minorEastAsia" w:cstheme="minorEastAsia"/>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exact"/>
        </w:trPr>
        <w:tc>
          <w:tcPr>
            <w:tcW w:w="3592" w:type="dxa"/>
            <w:gridSpan w:val="2"/>
            <w:tcBorders>
              <w:top w:val="nil"/>
              <w:left w:val="nil"/>
              <w:bottom w:val="nil"/>
              <w:right w:val="single" w:color="auto" w:sz="2"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施工总承包</w:t>
            </w:r>
          </w:p>
        </w:tc>
        <w:tc>
          <w:tcPr>
            <w:tcW w:w="1536"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1985391 </w:t>
            </w:r>
          </w:p>
        </w:tc>
        <w:tc>
          <w:tcPr>
            <w:tcW w:w="168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19.6 </w:t>
            </w:r>
          </w:p>
        </w:tc>
        <w:tc>
          <w:tcPr>
            <w:tcW w:w="156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523093 </w:t>
            </w:r>
          </w:p>
        </w:tc>
        <w:tc>
          <w:tcPr>
            <w:tcW w:w="1692"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11.6 </w:t>
            </w:r>
          </w:p>
        </w:tc>
        <w:tc>
          <w:tcPr>
            <w:tcW w:w="174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448206 </w:t>
            </w:r>
          </w:p>
        </w:tc>
        <w:tc>
          <w:tcPr>
            <w:tcW w:w="1468" w:type="dxa"/>
            <w:tcBorders>
              <w:top w:val="nil"/>
              <w:left w:val="single" w:color="auto" w:sz="2"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32.7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08" w:hRule="exact"/>
        </w:trPr>
        <w:tc>
          <w:tcPr>
            <w:tcW w:w="3592" w:type="dxa"/>
            <w:gridSpan w:val="2"/>
            <w:tcBorders>
              <w:top w:val="nil"/>
              <w:left w:val="nil"/>
              <w:bottom w:val="single" w:color="auto" w:sz="12" w:space="0"/>
              <w:right w:val="single" w:color="auto" w:sz="2"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专业承包</w:t>
            </w:r>
          </w:p>
        </w:tc>
        <w:tc>
          <w:tcPr>
            <w:tcW w:w="1536" w:type="dxa"/>
            <w:tcBorders>
              <w:top w:val="nil"/>
              <w:left w:val="single" w:color="auto" w:sz="2" w:space="0"/>
              <w:bottom w:val="single" w:color="auto" w:sz="12" w:space="0"/>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604746 </w:t>
            </w:r>
          </w:p>
        </w:tc>
        <w:tc>
          <w:tcPr>
            <w:tcW w:w="1680" w:type="dxa"/>
            <w:tcBorders>
              <w:top w:val="nil"/>
              <w:left w:val="single" w:color="auto" w:sz="2" w:space="0"/>
              <w:bottom w:val="single" w:color="auto" w:sz="12" w:space="0"/>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8.6 </w:t>
            </w:r>
          </w:p>
        </w:tc>
        <w:tc>
          <w:tcPr>
            <w:tcW w:w="1560" w:type="dxa"/>
            <w:tcBorders>
              <w:top w:val="nil"/>
              <w:left w:val="single" w:color="auto" w:sz="2" w:space="0"/>
              <w:bottom w:val="single" w:color="auto" w:sz="12" w:space="0"/>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652886 </w:t>
            </w:r>
          </w:p>
        </w:tc>
        <w:tc>
          <w:tcPr>
            <w:tcW w:w="1692" w:type="dxa"/>
            <w:tcBorders>
              <w:top w:val="nil"/>
              <w:left w:val="single" w:color="auto" w:sz="2" w:space="0"/>
              <w:bottom w:val="single" w:color="auto" w:sz="12" w:space="0"/>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-1.1 </w:t>
            </w:r>
          </w:p>
        </w:tc>
        <w:tc>
          <w:tcPr>
            <w:tcW w:w="1740" w:type="dxa"/>
            <w:tcBorders>
              <w:top w:val="nil"/>
              <w:left w:val="single" w:color="auto" w:sz="2" w:space="0"/>
              <w:bottom w:val="single" w:color="auto" w:sz="12" w:space="0"/>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305098 </w:t>
            </w:r>
          </w:p>
        </w:tc>
        <w:tc>
          <w:tcPr>
            <w:tcW w:w="1468" w:type="dxa"/>
            <w:tcBorders>
              <w:top w:val="nil"/>
              <w:left w:val="single" w:color="auto" w:sz="2" w:space="0"/>
              <w:bottom w:val="single" w:color="auto" w:sz="12"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125.9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32" w:type="dxa"/>
          <w:trHeight w:val="90" w:hRule="atLeast"/>
        </w:trPr>
        <w:tc>
          <w:tcPr>
            <w:tcW w:w="13236" w:type="dxa"/>
            <w:gridSpan w:val="7"/>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楷体_GB2312" w:hAnsi="宋体" w:eastAsia="楷体_GB2312" w:cs="宋体"/>
                <w:kern w:val="0"/>
                <w:sz w:val="24"/>
              </w:rPr>
            </w:pPr>
            <w:r>
              <w:rPr>
                <w:rFonts w:hint="eastAsia" w:ascii="楷体_GB2312" w:hAnsi="宋体" w:eastAsia="楷体_GB2312" w:cs="宋体"/>
                <w:kern w:val="0"/>
                <w:sz w:val="24"/>
              </w:rPr>
              <w:t>注释：</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i w:val="0"/>
                <w:color w:val="000000"/>
                <w:sz w:val="20"/>
                <w:szCs w:val="20"/>
                <w:u w:val="none"/>
              </w:rPr>
            </w:pPr>
            <w:r>
              <w:rPr>
                <w:rFonts w:hint="eastAsia" w:ascii="楷体_GB2312" w:hAnsi="宋体" w:eastAsia="楷体_GB2312" w:cs="宋体"/>
                <w:b/>
                <w:bCs/>
                <w:kern w:val="0"/>
                <w:sz w:val="24"/>
                <w:lang w:val="en-US" w:eastAsia="zh-CN"/>
              </w:rPr>
              <w:t>1、</w:t>
            </w:r>
            <w:r>
              <w:rPr>
                <w:rFonts w:hint="eastAsia" w:ascii="楷体_GB2312" w:hAnsi="宋体" w:eastAsia="楷体_GB2312" w:cs="宋体"/>
                <w:b/>
                <w:bCs/>
                <w:kern w:val="0"/>
                <w:sz w:val="24"/>
              </w:rPr>
              <w:t>统计范围：</w:t>
            </w:r>
            <w:r>
              <w:rPr>
                <w:rFonts w:hint="eastAsia" w:ascii="楷体_GB2312" w:hAnsi="宋体" w:eastAsia="楷体_GB2312" w:cs="宋体"/>
                <w:kern w:val="0"/>
                <w:sz w:val="24"/>
              </w:rPr>
              <w:t>统</w:t>
            </w:r>
            <w:r>
              <w:rPr>
                <w:rFonts w:hint="eastAsia" w:ascii="楷体_GB2312" w:hAnsi="宋体" w:eastAsia="楷体_GB2312" w:cs="宋体"/>
                <w:bCs/>
                <w:kern w:val="0"/>
                <w:sz w:val="24"/>
                <w:szCs w:val="24"/>
                <w:lang w:val="en-US" w:eastAsia="zh-CN" w:bidi="ar-SA"/>
              </w:rPr>
              <w:t>计范围为具有资质的建筑业法人单位，即指领取了《企业法人营业执照》，并经各级建设行政主管部门审核批准，获得总承包、专业承包《建筑业企业资质证书》的建筑业法人单位。</w:t>
            </w:r>
            <w:r>
              <w:rPr>
                <w:rFonts w:hint="eastAsia" w:ascii="楷体_GB2312" w:hAnsi="宋体" w:eastAsia="楷体_GB2312" w:cs="宋体"/>
                <w:bCs/>
                <w:kern w:val="0"/>
                <w:sz w:val="24"/>
                <w:szCs w:val="24"/>
                <w:lang w:val="en-US" w:eastAsia="zh-CN" w:bidi="ar-SA"/>
              </w:rPr>
              <w:br w:type="textWrapping"/>
            </w:r>
            <w:r>
              <w:rPr>
                <w:rFonts w:hint="eastAsia" w:ascii="楷体_GB2312" w:hAnsi="宋体" w:eastAsia="楷体_GB2312" w:cs="宋体"/>
                <w:b/>
                <w:bCs/>
                <w:kern w:val="0"/>
                <w:sz w:val="24"/>
              </w:rPr>
              <w:t>2、采集渠道：</w:t>
            </w:r>
            <w:r>
              <w:rPr>
                <w:rFonts w:hint="eastAsia" w:ascii="楷体_GB2312" w:hAnsi="宋体" w:eastAsia="楷体_GB2312" w:cs="宋体"/>
                <w:kern w:val="0"/>
                <w:sz w:val="24"/>
              </w:rPr>
              <w:t>纳入统计范围的建筑业企业按照《建筑业统计报表制度》要求，通过统计数据集中采集平台上报统计数据。</w:t>
            </w:r>
            <w:r>
              <w:rPr>
                <w:rFonts w:hint="eastAsia" w:ascii="楷体_GB2312" w:eastAsia="楷体_GB2312"/>
                <w:color w:val="000000"/>
                <w:sz w:val="24"/>
              </w:rPr>
              <w:t>经北京市统计局统一审核评估后对外发布</w:t>
            </w:r>
            <w:r>
              <w:rPr>
                <w:rFonts w:hint="eastAsia" w:ascii="楷体_GB2312" w:eastAsia="楷体_GB2312"/>
                <w:color w:val="000000"/>
                <w:sz w:val="24"/>
                <w:lang w:eastAsia="zh-CN"/>
              </w:rPr>
              <w:t>。</w:t>
            </w:r>
            <w:r>
              <w:rPr>
                <w:rFonts w:hint="eastAsia" w:ascii="楷体_GB2312" w:hAnsi="宋体" w:eastAsia="楷体_GB2312" w:cs="宋体"/>
                <w:kern w:val="0"/>
                <w:sz w:val="24"/>
              </w:rPr>
              <w:br w:type="textWrapping"/>
            </w:r>
            <w:r>
              <w:rPr>
                <w:rFonts w:hint="eastAsia" w:ascii="楷体_GB2312" w:hAnsi="宋体" w:eastAsia="楷体_GB2312" w:cs="宋体"/>
                <w:b/>
                <w:bCs/>
                <w:kern w:val="0"/>
                <w:sz w:val="24"/>
              </w:rPr>
              <w:t>3、主要统计指标解释：</w:t>
            </w:r>
            <w:r>
              <w:rPr>
                <w:rFonts w:hint="eastAsia" w:ascii="楷体_GB2312" w:hAnsi="宋体" w:eastAsia="楷体_GB2312" w:cs="宋体"/>
                <w:b w:val="0"/>
                <w:bCs/>
                <w:kern w:val="0"/>
                <w:sz w:val="24"/>
                <w:szCs w:val="24"/>
              </w:rPr>
              <w:t>签订合同额</w:t>
            </w:r>
            <w:r>
              <w:rPr>
                <w:rFonts w:hint="eastAsia" w:ascii="楷体_GB2312" w:hAnsi="宋体" w:eastAsia="楷体_GB2312" w:cs="宋体"/>
                <w:b w:val="0"/>
                <w:bCs/>
                <w:kern w:val="0"/>
                <w:sz w:val="24"/>
                <w:szCs w:val="24"/>
                <w:lang w:eastAsia="zh-CN"/>
              </w:rPr>
              <w:t>：</w:t>
            </w:r>
            <w:r>
              <w:rPr>
                <w:rFonts w:hint="eastAsia" w:ascii="楷体_GB2312" w:hAnsi="宋体" w:eastAsia="楷体_GB2312" w:cs="宋体"/>
                <w:b w:val="0"/>
                <w:bCs/>
                <w:kern w:val="0"/>
                <w:sz w:val="24"/>
                <w:szCs w:val="24"/>
              </w:rPr>
              <w:t>指建筑业企业在报告期直接同建设单位签订的各种国内工程合同的总价款和以前年度同建设单位签订的各种国内工程合同的未完工程跨入本年度继续施工工程合同的总价款余额。建筑业总产值</w:t>
            </w:r>
            <w:r>
              <w:rPr>
                <w:rFonts w:hint="eastAsia" w:ascii="楷体_GB2312" w:hAnsi="宋体" w:eastAsia="楷体_GB2312" w:cs="宋体"/>
                <w:b w:val="0"/>
                <w:bCs/>
                <w:kern w:val="0"/>
                <w:sz w:val="24"/>
                <w:szCs w:val="24"/>
                <w:lang w:eastAsia="zh-CN"/>
              </w:rPr>
              <w:t>：</w:t>
            </w:r>
            <w:r>
              <w:rPr>
                <w:rFonts w:hint="eastAsia" w:ascii="楷体_GB2312" w:hAnsi="宋体" w:eastAsia="楷体_GB2312" w:cs="宋体"/>
                <w:b w:val="0"/>
                <w:bCs/>
                <w:kern w:val="0"/>
                <w:sz w:val="24"/>
                <w:szCs w:val="24"/>
              </w:rPr>
              <w:t>指以货币表现的建筑业企业在一定时期内生产的建筑业产品和服务的总和。建筑业总产值包括建筑工程产值、安装工程产值和其他产值三部分内容</w:t>
            </w:r>
            <w:r>
              <w:rPr>
                <w:rFonts w:hint="eastAsia" w:ascii="楷体_GB2312" w:hAnsi="宋体" w:eastAsia="楷体_GB2312" w:cs="宋体"/>
                <w:b w:val="0"/>
                <w:bCs/>
                <w:kern w:val="0"/>
                <w:sz w:val="24"/>
                <w:szCs w:val="24"/>
                <w:lang w:eastAsia="zh-CN"/>
              </w:rPr>
              <w:t>。</w:t>
            </w:r>
            <w:r>
              <w:rPr>
                <w:rFonts w:hint="eastAsia" w:ascii="楷体_GB2312" w:hAnsi="宋体" w:eastAsia="楷体_GB2312" w:cs="宋体"/>
                <w:b w:val="0"/>
                <w:bCs/>
                <w:kern w:val="0"/>
                <w:sz w:val="24"/>
                <w:szCs w:val="24"/>
              </w:rPr>
              <w:t>竣工产值</w:t>
            </w:r>
            <w:r>
              <w:rPr>
                <w:rFonts w:hint="eastAsia" w:ascii="楷体_GB2312" w:hAnsi="宋体" w:eastAsia="楷体_GB2312" w:cs="宋体"/>
                <w:b w:val="0"/>
                <w:bCs/>
                <w:kern w:val="0"/>
                <w:sz w:val="24"/>
                <w:szCs w:val="24"/>
                <w:lang w:eastAsia="zh-CN"/>
              </w:rPr>
              <w:t>：</w:t>
            </w:r>
            <w:r>
              <w:rPr>
                <w:rFonts w:hint="eastAsia" w:ascii="楷体_GB2312" w:hAnsi="宋体" w:eastAsia="楷体_GB2312" w:cs="宋体"/>
                <w:b w:val="0"/>
                <w:bCs/>
                <w:kern w:val="0"/>
                <w:sz w:val="24"/>
                <w:szCs w:val="24"/>
              </w:rPr>
              <w:t>一般是以单位工程为对象，当该工程按照设计所规定的工程内容全部完成，达到了设计规定的交工条件，经有关部门检查验收鉴定合格的单位工程价值，即为竣工产值。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32" w:type="dxa"/>
          <w:trHeight w:val="90" w:hRule="atLeast"/>
        </w:trPr>
        <w:tc>
          <w:tcPr>
            <w:tcW w:w="13236" w:type="dxa"/>
            <w:gridSpan w:val="7"/>
            <w:tcBorders>
              <w:tl2br w:val="nil"/>
              <w:tr2bl w:val="nil"/>
            </w:tcBorders>
            <w:vAlign w:val="center"/>
          </w:tcPr>
          <w:tbl>
            <w:tblPr>
              <w:tblStyle w:val="6"/>
              <w:tblpPr w:leftFromText="180" w:rightFromText="180" w:vertAnchor="text" w:horzAnchor="page" w:tblpX="3" w:tblpY="-3244"/>
              <w:tblOverlap w:val="never"/>
              <w:tblW w:w="13191" w:type="dxa"/>
              <w:tblInd w:w="0" w:type="dxa"/>
              <w:tblBorders>
                <w:top w:val="none" w:color="auto" w:sz="0" w:space="0"/>
                <w:left w:val="none" w:color="auto" w:sz="0" w:space="0"/>
                <w:bottom w:val="none" w:color="auto" w:sz="0" w:space="0"/>
                <w:right w:val="none" w:color="auto" w:sz="0" w:space="0"/>
                <w:insideH w:val="none" w:color="auto" w:sz="0" w:space="0"/>
                <w:insideV w:val="single" w:color="auto" w:sz="2" w:space="0"/>
              </w:tblBorders>
              <w:tblLayout w:type="fixed"/>
              <w:tblCellMar>
                <w:top w:w="0" w:type="dxa"/>
                <w:left w:w="0" w:type="dxa"/>
                <w:bottom w:w="0" w:type="dxa"/>
                <w:right w:w="0" w:type="dxa"/>
              </w:tblCellMar>
            </w:tblPr>
            <w:tblGrid>
              <w:gridCol w:w="4767"/>
              <w:gridCol w:w="2013"/>
              <w:gridCol w:w="2087"/>
              <w:gridCol w:w="2129"/>
              <w:gridCol w:w="1040"/>
              <w:gridCol w:w="1155"/>
            </w:tblGrid>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CellMar>
                  <w:top w:w="0" w:type="dxa"/>
                  <w:left w:w="0" w:type="dxa"/>
                  <w:bottom w:w="0" w:type="dxa"/>
                  <w:right w:w="0" w:type="dxa"/>
                </w:tblCellMar>
              </w:tblPrEx>
              <w:trPr>
                <w:gridAfter w:val="1"/>
                <w:wAfter w:w="1155" w:type="dxa"/>
                <w:trHeight w:val="476" w:hRule="atLeast"/>
              </w:trPr>
              <w:tc>
                <w:tcPr>
                  <w:tcW w:w="12036" w:type="dxa"/>
                  <w:gridSpan w:val="5"/>
                  <w:tcBorders>
                    <w:tl2br w:val="nil"/>
                    <w:tr2bl w:val="nil"/>
                  </w:tcBorders>
                  <w:tcMar>
                    <w:left w:w="84" w:type="dxa"/>
                    <w:right w:w="84" w:type="dxa"/>
                  </w:tcMar>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Fonts w:hint="eastAsia" w:eastAsia="宋体"/>
                      <w:b/>
                      <w:color w:val="404040"/>
                      <w:sz w:val="30"/>
                      <w:szCs w:val="30"/>
                      <w:lang w:eastAsia="zh-CN"/>
                    </w:rPr>
                  </w:pPr>
                  <w:r>
                    <w:rPr>
                      <w:rFonts w:hint="eastAsia"/>
                      <w:b/>
                      <w:color w:val="0000FF"/>
                      <w:sz w:val="36"/>
                      <w:szCs w:val="36"/>
                      <w:lang w:val="en-US" w:eastAsia="zh-CN"/>
                    </w:rPr>
                    <w:t xml:space="preserve">       居民收支统计数据：</w:t>
                  </w:r>
                  <w:r>
                    <w:rPr>
                      <w:rFonts w:hint="eastAsia"/>
                      <w:b/>
                      <w:color w:val="0000FF"/>
                      <w:sz w:val="36"/>
                      <w:szCs w:val="36"/>
                      <w:lang w:eastAsia="zh-CN"/>
                    </w:rPr>
                    <w:t>2024年</w:t>
                  </w:r>
                  <w:r>
                    <w:rPr>
                      <w:rFonts w:hint="default"/>
                      <w:b/>
                      <w:color w:val="0000FF"/>
                      <w:sz w:val="36"/>
                      <w:szCs w:val="36"/>
                      <w:lang w:val="en" w:eastAsia="zh-CN"/>
                    </w:rPr>
                    <w:t>1-3季</w:t>
                  </w:r>
                  <w:r>
                    <w:rPr>
                      <w:rFonts w:hint="eastAsia"/>
                      <w:b/>
                      <w:color w:val="0000FF"/>
                      <w:sz w:val="36"/>
                      <w:szCs w:val="36"/>
                      <w:lang w:eastAsia="zh-CN"/>
                    </w:rPr>
                    <w:t>度居民人均可支配收入情况</w:t>
                  </w:r>
                </w:p>
              </w:tc>
            </w:tr>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CellMar>
                  <w:top w:w="0" w:type="dxa"/>
                  <w:left w:w="0" w:type="dxa"/>
                  <w:bottom w:w="0" w:type="dxa"/>
                  <w:right w:w="0" w:type="dxa"/>
                </w:tblCellMar>
              </w:tblPrEx>
              <w:trPr>
                <w:trHeight w:val="431" w:hRule="atLeast"/>
              </w:trPr>
              <w:tc>
                <w:tcPr>
                  <w:tcW w:w="4767" w:type="dxa"/>
                  <w:vMerge w:val="restart"/>
                  <w:tcBorders>
                    <w:top w:val="single" w:color="auto" w:sz="12" w:space="0"/>
                    <w:bottom w:val="single" w:color="auto" w:sz="2" w:space="0"/>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Fonts w:hint="eastAsia" w:ascii="宋体" w:hAnsi="宋体" w:eastAsia="宋体" w:cs="宋体"/>
                      <w:b w:val="0"/>
                      <w:bCs/>
                      <w:color w:val="404040"/>
                      <w:sz w:val="24"/>
                      <w:szCs w:val="24"/>
                    </w:rPr>
                  </w:pPr>
                  <w:r>
                    <w:rPr>
                      <w:rStyle w:val="8"/>
                      <w:rFonts w:hint="eastAsia" w:ascii="宋体" w:hAnsi="宋体" w:eastAsia="宋体" w:cs="宋体"/>
                      <w:b w:val="0"/>
                      <w:bCs/>
                      <w:color w:val="404040"/>
                      <w:sz w:val="24"/>
                      <w:szCs w:val="24"/>
                    </w:rPr>
                    <w:t>指 标 名 称</w:t>
                  </w:r>
                </w:p>
              </w:tc>
              <w:tc>
                <w:tcPr>
                  <w:tcW w:w="4100" w:type="dxa"/>
                  <w:gridSpan w:val="2"/>
                  <w:tcBorders>
                    <w:top w:val="single" w:color="auto" w:sz="12" w:space="0"/>
                    <w:bottom w:val="single" w:color="auto" w:sz="2" w:space="0"/>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Fonts w:hint="eastAsia" w:ascii="宋体" w:hAnsi="宋体" w:eastAsia="宋体" w:cs="宋体"/>
                      <w:b w:val="0"/>
                      <w:bCs/>
                      <w:color w:val="404040"/>
                      <w:sz w:val="24"/>
                      <w:szCs w:val="24"/>
                    </w:rPr>
                  </w:pPr>
                  <w:r>
                    <w:rPr>
                      <w:rStyle w:val="8"/>
                      <w:rFonts w:hint="eastAsia" w:ascii="宋体" w:hAnsi="宋体" w:eastAsia="宋体" w:cs="宋体"/>
                      <w:b w:val="0"/>
                      <w:bCs/>
                      <w:color w:val="404040"/>
                      <w:sz w:val="24"/>
                      <w:szCs w:val="24"/>
                    </w:rPr>
                    <w:t>全区居民</w:t>
                  </w:r>
                </w:p>
              </w:tc>
              <w:tc>
                <w:tcPr>
                  <w:tcW w:w="4324" w:type="dxa"/>
                  <w:gridSpan w:val="3"/>
                  <w:tcBorders>
                    <w:top w:val="single" w:color="auto" w:sz="12" w:space="0"/>
                    <w:bottom w:val="single" w:color="auto" w:sz="2" w:space="0"/>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Fonts w:hint="eastAsia" w:ascii="宋体" w:hAnsi="宋体" w:eastAsia="宋体" w:cs="宋体"/>
                      <w:b w:val="0"/>
                      <w:bCs/>
                      <w:color w:val="404040"/>
                      <w:sz w:val="24"/>
                      <w:szCs w:val="24"/>
                    </w:rPr>
                  </w:pPr>
                  <w:r>
                    <w:rPr>
                      <w:rStyle w:val="8"/>
                      <w:rFonts w:hint="eastAsia" w:ascii="宋体" w:hAnsi="宋体" w:eastAsia="宋体" w:cs="宋体"/>
                      <w:b w:val="0"/>
                      <w:bCs/>
                      <w:color w:val="404040"/>
                      <w:sz w:val="24"/>
                      <w:szCs w:val="24"/>
                    </w:rPr>
                    <w:t>城镇居民</w:t>
                  </w:r>
                </w:p>
              </w:tc>
            </w:tr>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CellMar>
                  <w:top w:w="0" w:type="dxa"/>
                  <w:left w:w="0" w:type="dxa"/>
                  <w:bottom w:w="0" w:type="dxa"/>
                  <w:right w:w="0" w:type="dxa"/>
                </w:tblCellMar>
              </w:tblPrEx>
              <w:trPr>
                <w:trHeight w:val="386" w:hRule="atLeast"/>
              </w:trPr>
              <w:tc>
                <w:tcPr>
                  <w:tcW w:w="4767" w:type="dxa"/>
                  <w:vMerge w:val="continue"/>
                  <w:tcBorders>
                    <w:top w:val="single" w:color="auto" w:sz="2" w:space="0"/>
                    <w:bottom w:val="single" w:color="auto" w:sz="2" w:space="0"/>
                  </w:tcBorders>
                  <w:tcMar>
                    <w:left w:w="84" w:type="dxa"/>
                    <w:right w:w="84" w:type="dxa"/>
                  </w:tcMar>
                  <w:vAlign w:val="center"/>
                </w:tcPr>
                <w:p>
                  <w:pPr>
                    <w:keepNext w:val="0"/>
                    <w:keepLines w:val="0"/>
                    <w:pageBreakBefore w:val="0"/>
                    <w:kinsoku/>
                    <w:wordWrap/>
                    <w:overflowPunct/>
                    <w:topLinePunct w:val="0"/>
                    <w:autoSpaceDE/>
                    <w:autoSpaceDN/>
                    <w:bidi w:val="0"/>
                    <w:adjustRightInd w:val="0"/>
                    <w:snapToGrid w:val="0"/>
                    <w:outlineLvl w:val="9"/>
                    <w:rPr>
                      <w:rFonts w:hint="eastAsia" w:ascii="宋体" w:hAnsi="宋体" w:eastAsia="宋体" w:cs="宋体"/>
                      <w:b w:val="0"/>
                      <w:bCs/>
                      <w:sz w:val="24"/>
                      <w:szCs w:val="24"/>
                    </w:rPr>
                  </w:pPr>
                </w:p>
              </w:tc>
              <w:tc>
                <w:tcPr>
                  <w:tcW w:w="2013" w:type="dxa"/>
                  <w:tcBorders>
                    <w:top w:val="single" w:color="auto" w:sz="2" w:space="0"/>
                    <w:bottom w:val="single" w:color="auto" w:sz="2" w:space="0"/>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Style w:val="8"/>
                      <w:rFonts w:hint="eastAsia" w:ascii="宋体" w:hAnsi="宋体" w:eastAsia="宋体" w:cs="宋体"/>
                      <w:b w:val="0"/>
                      <w:bCs/>
                      <w:color w:val="404040"/>
                      <w:sz w:val="24"/>
                      <w:szCs w:val="24"/>
                      <w:lang w:eastAsia="zh-CN"/>
                    </w:rPr>
                  </w:pPr>
                  <w:r>
                    <w:rPr>
                      <w:rStyle w:val="8"/>
                      <w:rFonts w:hint="eastAsia" w:ascii="宋体" w:hAnsi="宋体" w:eastAsia="宋体" w:cs="宋体"/>
                      <w:b w:val="0"/>
                      <w:bCs/>
                      <w:color w:val="404040"/>
                      <w:sz w:val="24"/>
                      <w:szCs w:val="24"/>
                      <w:lang w:eastAsia="zh-CN"/>
                    </w:rPr>
                    <w:t>2024年</w:t>
                  </w:r>
                  <w:r>
                    <w:rPr>
                      <w:rStyle w:val="8"/>
                      <w:rFonts w:hint="default" w:ascii="宋体" w:hAnsi="宋体" w:eastAsia="宋体" w:cs="宋体"/>
                      <w:b w:val="0"/>
                      <w:bCs/>
                      <w:color w:val="404040"/>
                      <w:sz w:val="24"/>
                      <w:szCs w:val="24"/>
                      <w:lang w:val="en" w:eastAsia="zh-CN"/>
                    </w:rPr>
                    <w:t>1-3季</w:t>
                  </w:r>
                  <w:r>
                    <w:rPr>
                      <w:rStyle w:val="8"/>
                      <w:rFonts w:hint="eastAsia" w:ascii="宋体" w:hAnsi="宋体" w:eastAsia="宋体" w:cs="宋体"/>
                      <w:b w:val="0"/>
                      <w:bCs/>
                      <w:color w:val="404040"/>
                      <w:sz w:val="24"/>
                      <w:szCs w:val="24"/>
                      <w:lang w:eastAsia="zh-CN"/>
                    </w:rPr>
                    <w:t>度</w:t>
                  </w:r>
                </w:p>
              </w:tc>
              <w:tc>
                <w:tcPr>
                  <w:tcW w:w="2087" w:type="dxa"/>
                  <w:tcBorders>
                    <w:top w:val="single" w:color="auto" w:sz="2" w:space="0"/>
                    <w:bottom w:val="single" w:color="auto" w:sz="2" w:space="0"/>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Style w:val="8"/>
                      <w:rFonts w:hint="eastAsia" w:ascii="宋体" w:hAnsi="宋体" w:eastAsia="宋体" w:cs="宋体"/>
                      <w:b w:val="0"/>
                      <w:bCs/>
                      <w:color w:val="404040"/>
                      <w:sz w:val="24"/>
                      <w:szCs w:val="24"/>
                      <w:lang w:eastAsia="zh-CN"/>
                    </w:rPr>
                  </w:pPr>
                  <w:r>
                    <w:rPr>
                      <w:rStyle w:val="8"/>
                      <w:rFonts w:hint="eastAsia" w:ascii="宋体" w:hAnsi="宋体" w:eastAsia="宋体" w:cs="宋体"/>
                      <w:b w:val="0"/>
                      <w:bCs/>
                      <w:color w:val="404040"/>
                      <w:sz w:val="24"/>
                      <w:szCs w:val="24"/>
                      <w:lang w:eastAsia="zh-CN"/>
                    </w:rPr>
                    <w:t>同比增长（%）</w:t>
                  </w:r>
                </w:p>
              </w:tc>
              <w:tc>
                <w:tcPr>
                  <w:tcW w:w="2129" w:type="dxa"/>
                  <w:tcBorders>
                    <w:top w:val="single" w:color="auto" w:sz="2" w:space="0"/>
                    <w:bottom w:val="single" w:color="auto" w:sz="2" w:space="0"/>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Style w:val="8"/>
                      <w:rFonts w:hint="eastAsia" w:ascii="宋体" w:hAnsi="宋体" w:eastAsia="宋体" w:cs="宋体"/>
                      <w:b w:val="0"/>
                      <w:bCs/>
                      <w:color w:val="404040"/>
                      <w:sz w:val="24"/>
                      <w:szCs w:val="24"/>
                      <w:lang w:val="en-US" w:eastAsia="zh-CN"/>
                    </w:rPr>
                  </w:pPr>
                  <w:r>
                    <w:rPr>
                      <w:rStyle w:val="8"/>
                      <w:rFonts w:hint="eastAsia" w:ascii="宋体" w:hAnsi="宋体" w:eastAsia="宋体" w:cs="宋体"/>
                      <w:b w:val="0"/>
                      <w:bCs/>
                      <w:color w:val="404040"/>
                      <w:sz w:val="24"/>
                      <w:szCs w:val="24"/>
                      <w:lang w:eastAsia="zh-CN"/>
                    </w:rPr>
                    <w:t>2024年</w:t>
                  </w:r>
                  <w:r>
                    <w:rPr>
                      <w:rStyle w:val="8"/>
                      <w:rFonts w:hint="default" w:ascii="宋体" w:hAnsi="宋体" w:eastAsia="宋体" w:cs="宋体"/>
                      <w:b w:val="0"/>
                      <w:bCs/>
                      <w:color w:val="404040"/>
                      <w:sz w:val="24"/>
                      <w:szCs w:val="24"/>
                      <w:lang w:val="en" w:eastAsia="zh-CN"/>
                    </w:rPr>
                    <w:t>1-3季</w:t>
                  </w:r>
                  <w:r>
                    <w:rPr>
                      <w:rStyle w:val="8"/>
                      <w:rFonts w:hint="eastAsia" w:ascii="宋体" w:hAnsi="宋体" w:eastAsia="宋体" w:cs="宋体"/>
                      <w:b w:val="0"/>
                      <w:bCs/>
                      <w:color w:val="404040"/>
                      <w:sz w:val="24"/>
                      <w:szCs w:val="24"/>
                      <w:lang w:eastAsia="zh-CN"/>
                    </w:rPr>
                    <w:t>度</w:t>
                  </w:r>
                </w:p>
              </w:tc>
              <w:tc>
                <w:tcPr>
                  <w:tcW w:w="2195" w:type="dxa"/>
                  <w:gridSpan w:val="2"/>
                  <w:tcBorders>
                    <w:top w:val="single" w:color="auto" w:sz="2" w:space="0"/>
                    <w:bottom w:val="single" w:color="auto" w:sz="2" w:space="0"/>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Style w:val="8"/>
                      <w:rFonts w:hint="eastAsia" w:ascii="宋体" w:hAnsi="宋体" w:eastAsia="宋体" w:cs="宋体"/>
                      <w:b w:val="0"/>
                      <w:bCs/>
                      <w:color w:val="404040"/>
                      <w:sz w:val="24"/>
                      <w:szCs w:val="24"/>
                      <w:lang w:eastAsia="zh-CN"/>
                    </w:rPr>
                  </w:pPr>
                  <w:r>
                    <w:rPr>
                      <w:rStyle w:val="8"/>
                      <w:rFonts w:hint="eastAsia" w:ascii="宋体" w:hAnsi="宋体" w:eastAsia="宋体" w:cs="宋体"/>
                      <w:b w:val="0"/>
                      <w:bCs/>
                      <w:color w:val="404040"/>
                      <w:sz w:val="24"/>
                      <w:szCs w:val="24"/>
                      <w:lang w:eastAsia="zh-CN"/>
                    </w:rPr>
                    <w:t>同比增长（%）</w:t>
                  </w:r>
                </w:p>
              </w:tc>
            </w:tr>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CellMar>
                  <w:top w:w="0" w:type="dxa"/>
                  <w:left w:w="0" w:type="dxa"/>
                  <w:bottom w:w="0" w:type="dxa"/>
                  <w:right w:w="0" w:type="dxa"/>
                </w:tblCellMar>
              </w:tblPrEx>
              <w:trPr>
                <w:trHeight w:val="386" w:hRule="exact"/>
              </w:trPr>
              <w:tc>
                <w:tcPr>
                  <w:tcW w:w="4767" w:type="dxa"/>
                  <w:tcBorders>
                    <w:top w:val="single" w:color="auto" w:sz="2" w:space="0"/>
                    <w:bottom w:val="nil"/>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outlineLvl w:val="9"/>
                    <w:rPr>
                      <w:rFonts w:hint="eastAsia" w:ascii="宋体" w:hAnsi="宋体" w:eastAsia="宋体" w:cs="宋体"/>
                      <w:b/>
                      <w:bCs/>
                      <w:color w:val="404040"/>
                      <w:sz w:val="24"/>
                      <w:szCs w:val="24"/>
                      <w:lang w:eastAsia="zh-CN"/>
                    </w:rPr>
                  </w:pPr>
                  <w:r>
                    <w:rPr>
                      <w:rStyle w:val="8"/>
                      <w:rFonts w:hint="eastAsia" w:ascii="宋体" w:hAnsi="宋体" w:eastAsia="宋体" w:cs="宋体"/>
                      <w:b/>
                      <w:bCs/>
                      <w:color w:val="404040"/>
                      <w:sz w:val="24"/>
                      <w:szCs w:val="24"/>
                    </w:rPr>
                    <w:t> </w:t>
                  </w:r>
                  <w:r>
                    <w:rPr>
                      <w:rStyle w:val="8"/>
                      <w:rFonts w:hint="eastAsia" w:ascii="宋体" w:hAnsi="宋体" w:eastAsia="宋体" w:cs="宋体"/>
                      <w:b/>
                      <w:bCs/>
                      <w:color w:val="404040"/>
                      <w:sz w:val="24"/>
                      <w:szCs w:val="24"/>
                      <w:lang w:val="en-US" w:eastAsia="zh-CN"/>
                    </w:rPr>
                    <w:t xml:space="preserve"> </w:t>
                  </w:r>
                  <w:r>
                    <w:rPr>
                      <w:rStyle w:val="8"/>
                      <w:rFonts w:hint="eastAsia" w:ascii="宋体" w:hAnsi="宋体" w:eastAsia="宋体" w:cs="宋体"/>
                      <w:b/>
                      <w:bCs/>
                      <w:color w:val="404040"/>
                      <w:sz w:val="24"/>
                      <w:szCs w:val="24"/>
                    </w:rPr>
                    <w:t>人均可支配收入</w:t>
                  </w:r>
                  <w:r>
                    <w:rPr>
                      <w:rStyle w:val="8"/>
                      <w:rFonts w:hint="eastAsia" w:ascii="宋体" w:hAnsi="宋体" w:eastAsia="宋体" w:cs="宋体"/>
                      <w:b/>
                      <w:bCs/>
                      <w:color w:val="404040"/>
                      <w:sz w:val="24"/>
                      <w:szCs w:val="24"/>
                      <w:lang w:eastAsia="zh-CN"/>
                    </w:rPr>
                    <w:t>（元）</w:t>
                  </w:r>
                </w:p>
              </w:tc>
              <w:tc>
                <w:tcPr>
                  <w:tcW w:w="2013" w:type="dxa"/>
                  <w:tcBorders>
                    <w:top w:val="single" w:color="auto" w:sz="2" w:space="0"/>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b/>
                      <w:bCs/>
                      <w:sz w:val="24"/>
                      <w:szCs w:val="24"/>
                      <w:lang w:val="en-US" w:eastAsia="zh-CN"/>
                    </w:rPr>
                  </w:pPr>
                  <w:r>
                    <w:rPr>
                      <w:rFonts w:hint="eastAsia" w:ascii="宋体" w:hAnsi="宋体" w:eastAsia="宋体" w:cs="宋体"/>
                      <w:b/>
                      <w:i w:val="0"/>
                      <w:color w:val="000000"/>
                      <w:kern w:val="0"/>
                      <w:sz w:val="24"/>
                      <w:szCs w:val="24"/>
                      <w:u w:val="none"/>
                      <w:lang w:val="en-US" w:eastAsia="zh-CN" w:bidi="ar"/>
                    </w:rPr>
                    <w:t xml:space="preserve">37710 </w:t>
                  </w:r>
                </w:p>
              </w:tc>
              <w:tc>
                <w:tcPr>
                  <w:tcW w:w="2087" w:type="dxa"/>
                  <w:tcBorders>
                    <w:top w:val="single" w:color="auto" w:sz="2" w:space="0"/>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b/>
                      <w:bCs/>
                      <w:sz w:val="24"/>
                      <w:szCs w:val="24"/>
                      <w:lang w:val="en-US" w:eastAsia="zh-CN"/>
                    </w:rPr>
                  </w:pPr>
                  <w:r>
                    <w:rPr>
                      <w:rFonts w:hint="eastAsia" w:ascii="宋体" w:hAnsi="宋体" w:eastAsia="宋体" w:cs="宋体"/>
                      <w:b/>
                      <w:i w:val="0"/>
                      <w:color w:val="000000"/>
                      <w:kern w:val="0"/>
                      <w:sz w:val="24"/>
                      <w:szCs w:val="24"/>
                      <w:u w:val="none"/>
                      <w:lang w:val="en-US" w:eastAsia="zh-CN" w:bidi="ar"/>
                    </w:rPr>
                    <w:t xml:space="preserve">4.7 </w:t>
                  </w:r>
                </w:p>
              </w:tc>
              <w:tc>
                <w:tcPr>
                  <w:tcW w:w="2129" w:type="dxa"/>
                  <w:tcBorders>
                    <w:top w:val="single" w:color="auto" w:sz="2" w:space="0"/>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b/>
                      <w:bCs/>
                      <w:sz w:val="24"/>
                      <w:szCs w:val="24"/>
                      <w:lang w:val="en-US" w:eastAsia="zh-CN"/>
                    </w:rPr>
                  </w:pPr>
                  <w:r>
                    <w:rPr>
                      <w:rFonts w:hint="eastAsia" w:ascii="宋体" w:hAnsi="宋体" w:eastAsia="宋体" w:cs="宋体"/>
                      <w:b/>
                      <w:i w:val="0"/>
                      <w:color w:val="000000"/>
                      <w:kern w:val="0"/>
                      <w:sz w:val="24"/>
                      <w:szCs w:val="24"/>
                      <w:u w:val="none"/>
                      <w:lang w:val="en-US" w:eastAsia="zh-CN" w:bidi="ar"/>
                    </w:rPr>
                    <w:t xml:space="preserve">46229 </w:t>
                  </w:r>
                </w:p>
              </w:tc>
              <w:tc>
                <w:tcPr>
                  <w:tcW w:w="2195" w:type="dxa"/>
                  <w:gridSpan w:val="2"/>
                  <w:tcBorders>
                    <w:top w:val="single" w:color="auto" w:sz="2" w:space="0"/>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b/>
                      <w:bCs/>
                      <w:sz w:val="24"/>
                      <w:szCs w:val="24"/>
                      <w:lang w:val="en-US" w:eastAsia="zh-CN"/>
                    </w:rPr>
                  </w:pPr>
                  <w:r>
                    <w:rPr>
                      <w:rFonts w:hint="eastAsia" w:ascii="宋体" w:hAnsi="宋体" w:eastAsia="宋体" w:cs="宋体"/>
                      <w:b/>
                      <w:i w:val="0"/>
                      <w:color w:val="000000"/>
                      <w:kern w:val="0"/>
                      <w:sz w:val="24"/>
                      <w:szCs w:val="24"/>
                      <w:u w:val="none"/>
                      <w:lang w:val="en-US" w:eastAsia="zh-CN" w:bidi="ar"/>
                    </w:rPr>
                    <w:t xml:space="preserve">4.1 </w:t>
                  </w:r>
                </w:p>
              </w:tc>
            </w:tr>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CellMar>
                  <w:top w:w="0" w:type="dxa"/>
                  <w:left w:w="0" w:type="dxa"/>
                  <w:bottom w:w="0" w:type="dxa"/>
                  <w:right w:w="0" w:type="dxa"/>
                </w:tblCellMar>
              </w:tblPrEx>
              <w:trPr>
                <w:trHeight w:val="386" w:hRule="exact"/>
              </w:trPr>
              <w:tc>
                <w:tcPr>
                  <w:tcW w:w="4767" w:type="dxa"/>
                  <w:tcBorders>
                    <w:top w:val="nil"/>
                    <w:bottom w:val="nil"/>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outlineLvl w:val="9"/>
                    <w:rPr>
                      <w:rFonts w:hint="eastAsia" w:ascii="宋体" w:hAnsi="宋体" w:eastAsia="宋体" w:cs="宋体"/>
                      <w:color w:val="404040"/>
                      <w:sz w:val="24"/>
                      <w:szCs w:val="24"/>
                    </w:rPr>
                  </w:pPr>
                  <w:r>
                    <w:rPr>
                      <w:rFonts w:hint="eastAsia" w:ascii="宋体" w:hAnsi="宋体" w:eastAsia="宋体" w:cs="宋体"/>
                      <w:color w:val="404040"/>
                      <w:sz w:val="24"/>
                      <w:szCs w:val="24"/>
                    </w:rPr>
                    <w:t>  </w:t>
                  </w:r>
                  <w:r>
                    <w:rPr>
                      <w:rFonts w:hint="eastAsia" w:ascii="宋体" w:hAnsi="宋体" w:eastAsia="宋体" w:cs="宋体"/>
                      <w:color w:val="404040"/>
                      <w:sz w:val="24"/>
                      <w:szCs w:val="24"/>
                      <w:lang w:val="en-US" w:eastAsia="zh-CN"/>
                    </w:rPr>
                    <w:t xml:space="preserve">  </w:t>
                  </w:r>
                  <w:r>
                    <w:rPr>
                      <w:rFonts w:hint="eastAsia" w:ascii="宋体" w:hAnsi="宋体" w:eastAsia="宋体" w:cs="宋体"/>
                      <w:color w:val="404040"/>
                      <w:sz w:val="24"/>
                      <w:szCs w:val="24"/>
                    </w:rPr>
                    <w:t>工资性收入</w:t>
                  </w:r>
                </w:p>
              </w:tc>
              <w:tc>
                <w:tcPr>
                  <w:tcW w:w="2013"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lang w:val="en-US" w:eastAsia="zh-CN"/>
                    </w:rPr>
                  </w:pPr>
                  <w:r>
                    <w:rPr>
                      <w:rFonts w:hint="eastAsia" w:ascii="宋体" w:hAnsi="宋体" w:eastAsia="宋体" w:cs="宋体"/>
                      <w:i w:val="0"/>
                      <w:color w:val="000000"/>
                      <w:kern w:val="0"/>
                      <w:sz w:val="24"/>
                      <w:szCs w:val="24"/>
                      <w:u w:val="none"/>
                      <w:lang w:val="en-US" w:eastAsia="zh-CN" w:bidi="ar"/>
                    </w:rPr>
                    <w:t xml:space="preserve">31625 </w:t>
                  </w:r>
                </w:p>
              </w:tc>
              <w:tc>
                <w:tcPr>
                  <w:tcW w:w="2087"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lang w:val="en-US" w:eastAsia="zh-CN"/>
                    </w:rPr>
                  </w:pPr>
                  <w:r>
                    <w:rPr>
                      <w:rFonts w:hint="eastAsia" w:ascii="宋体" w:hAnsi="宋体" w:eastAsia="宋体" w:cs="宋体"/>
                      <w:i w:val="0"/>
                      <w:color w:val="000000"/>
                      <w:kern w:val="0"/>
                      <w:sz w:val="24"/>
                      <w:szCs w:val="24"/>
                      <w:u w:val="none"/>
                      <w:lang w:val="en-US" w:eastAsia="zh-CN" w:bidi="ar"/>
                    </w:rPr>
                    <w:t xml:space="preserve">4.4 </w:t>
                  </w:r>
                </w:p>
              </w:tc>
              <w:tc>
                <w:tcPr>
                  <w:tcW w:w="2129"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lang w:val="en-US" w:eastAsia="zh-CN"/>
                    </w:rPr>
                  </w:pPr>
                  <w:r>
                    <w:rPr>
                      <w:rFonts w:hint="eastAsia" w:ascii="宋体" w:hAnsi="宋体" w:eastAsia="宋体" w:cs="宋体"/>
                      <w:i w:val="0"/>
                      <w:color w:val="000000"/>
                      <w:kern w:val="0"/>
                      <w:sz w:val="24"/>
                      <w:szCs w:val="24"/>
                      <w:u w:val="none"/>
                      <w:lang w:val="en-US" w:eastAsia="zh-CN" w:bidi="ar"/>
                    </w:rPr>
                    <w:t xml:space="preserve">41175 </w:t>
                  </w:r>
                </w:p>
              </w:tc>
              <w:tc>
                <w:tcPr>
                  <w:tcW w:w="2195" w:type="dxa"/>
                  <w:gridSpan w:val="2"/>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lang w:val="en-US" w:eastAsia="zh-CN"/>
                    </w:rPr>
                  </w:pPr>
                  <w:r>
                    <w:rPr>
                      <w:rFonts w:hint="eastAsia" w:ascii="宋体" w:hAnsi="宋体" w:eastAsia="宋体" w:cs="宋体"/>
                      <w:i w:val="0"/>
                      <w:color w:val="000000"/>
                      <w:kern w:val="0"/>
                      <w:sz w:val="24"/>
                      <w:szCs w:val="24"/>
                      <w:u w:val="none"/>
                      <w:lang w:val="en-US" w:eastAsia="zh-CN" w:bidi="ar"/>
                    </w:rPr>
                    <w:t xml:space="preserve">3.7 </w:t>
                  </w:r>
                </w:p>
              </w:tc>
            </w:tr>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CellMar>
                  <w:top w:w="0" w:type="dxa"/>
                  <w:left w:w="0" w:type="dxa"/>
                  <w:bottom w:w="0" w:type="dxa"/>
                  <w:right w:w="0" w:type="dxa"/>
                </w:tblCellMar>
              </w:tblPrEx>
              <w:trPr>
                <w:trHeight w:val="386" w:hRule="exact"/>
              </w:trPr>
              <w:tc>
                <w:tcPr>
                  <w:tcW w:w="4767" w:type="dxa"/>
                  <w:tcBorders>
                    <w:top w:val="nil"/>
                    <w:bottom w:val="nil"/>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outlineLvl w:val="9"/>
                    <w:rPr>
                      <w:rFonts w:hint="eastAsia" w:ascii="宋体" w:hAnsi="宋体" w:eastAsia="宋体" w:cs="宋体"/>
                      <w:color w:val="404040"/>
                      <w:sz w:val="24"/>
                      <w:szCs w:val="24"/>
                    </w:rPr>
                  </w:pPr>
                  <w:r>
                    <w:rPr>
                      <w:rFonts w:hint="eastAsia" w:ascii="宋体" w:hAnsi="宋体" w:eastAsia="宋体" w:cs="宋体"/>
                      <w:color w:val="404040"/>
                      <w:sz w:val="24"/>
                      <w:szCs w:val="24"/>
                    </w:rPr>
                    <w:t>  </w:t>
                  </w:r>
                  <w:r>
                    <w:rPr>
                      <w:rFonts w:hint="eastAsia" w:ascii="宋体" w:hAnsi="宋体" w:eastAsia="宋体" w:cs="宋体"/>
                      <w:color w:val="404040"/>
                      <w:sz w:val="24"/>
                      <w:szCs w:val="24"/>
                      <w:lang w:val="en-US" w:eastAsia="zh-CN"/>
                    </w:rPr>
                    <w:t xml:space="preserve">  </w:t>
                  </w:r>
                  <w:r>
                    <w:rPr>
                      <w:rFonts w:hint="eastAsia" w:ascii="宋体" w:hAnsi="宋体" w:eastAsia="宋体" w:cs="宋体"/>
                      <w:color w:val="404040"/>
                      <w:sz w:val="24"/>
                      <w:szCs w:val="24"/>
                    </w:rPr>
                    <w:t>经营净收入</w:t>
                  </w:r>
                </w:p>
              </w:tc>
              <w:tc>
                <w:tcPr>
                  <w:tcW w:w="2013"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lang w:val="en-US" w:eastAsia="zh-CN"/>
                    </w:rPr>
                  </w:pPr>
                  <w:r>
                    <w:rPr>
                      <w:rFonts w:hint="eastAsia" w:ascii="宋体" w:hAnsi="宋体" w:eastAsia="宋体" w:cs="宋体"/>
                      <w:i w:val="0"/>
                      <w:color w:val="000000"/>
                      <w:kern w:val="0"/>
                      <w:sz w:val="24"/>
                      <w:szCs w:val="24"/>
                      <w:u w:val="none"/>
                      <w:lang w:val="en-US" w:eastAsia="zh-CN" w:bidi="ar"/>
                    </w:rPr>
                    <w:t xml:space="preserve">1045 </w:t>
                  </w:r>
                </w:p>
              </w:tc>
              <w:tc>
                <w:tcPr>
                  <w:tcW w:w="2087"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lang w:val="en-US" w:eastAsia="zh-CN"/>
                    </w:rPr>
                  </w:pPr>
                  <w:r>
                    <w:rPr>
                      <w:rFonts w:hint="eastAsia" w:ascii="宋体" w:hAnsi="宋体" w:eastAsia="宋体" w:cs="宋体"/>
                      <w:i w:val="0"/>
                      <w:color w:val="000000"/>
                      <w:kern w:val="0"/>
                      <w:sz w:val="24"/>
                      <w:szCs w:val="24"/>
                      <w:u w:val="none"/>
                      <w:lang w:val="en-US" w:eastAsia="zh-CN" w:bidi="ar"/>
                    </w:rPr>
                    <w:t xml:space="preserve">10.5 </w:t>
                  </w:r>
                </w:p>
              </w:tc>
              <w:tc>
                <w:tcPr>
                  <w:tcW w:w="2129"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lang w:val="en-US" w:eastAsia="zh-CN"/>
                    </w:rPr>
                  </w:pPr>
                  <w:r>
                    <w:rPr>
                      <w:rFonts w:hint="eastAsia" w:ascii="宋体" w:hAnsi="宋体" w:eastAsia="宋体" w:cs="宋体"/>
                      <w:i w:val="0"/>
                      <w:color w:val="000000"/>
                      <w:kern w:val="0"/>
                      <w:sz w:val="24"/>
                      <w:szCs w:val="24"/>
                      <w:u w:val="none"/>
                      <w:lang w:val="en-US" w:eastAsia="zh-CN" w:bidi="ar"/>
                    </w:rPr>
                    <w:t xml:space="preserve">671 </w:t>
                  </w:r>
                </w:p>
              </w:tc>
              <w:tc>
                <w:tcPr>
                  <w:tcW w:w="2195" w:type="dxa"/>
                  <w:gridSpan w:val="2"/>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lang w:val="en-US" w:eastAsia="zh-CN"/>
                    </w:rPr>
                  </w:pPr>
                  <w:r>
                    <w:rPr>
                      <w:rFonts w:hint="eastAsia" w:ascii="宋体" w:hAnsi="宋体" w:eastAsia="宋体" w:cs="宋体"/>
                      <w:i w:val="0"/>
                      <w:color w:val="000000"/>
                      <w:kern w:val="0"/>
                      <w:sz w:val="24"/>
                      <w:szCs w:val="24"/>
                      <w:u w:val="none"/>
                      <w:lang w:val="en-US" w:eastAsia="zh-CN" w:bidi="ar"/>
                    </w:rPr>
                    <w:t xml:space="preserve">14.9 </w:t>
                  </w:r>
                </w:p>
              </w:tc>
            </w:tr>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CellMar>
                  <w:top w:w="0" w:type="dxa"/>
                  <w:left w:w="0" w:type="dxa"/>
                  <w:bottom w:w="0" w:type="dxa"/>
                  <w:right w:w="0" w:type="dxa"/>
                </w:tblCellMar>
              </w:tblPrEx>
              <w:trPr>
                <w:trHeight w:val="386" w:hRule="exact"/>
              </w:trPr>
              <w:tc>
                <w:tcPr>
                  <w:tcW w:w="4767" w:type="dxa"/>
                  <w:tcBorders>
                    <w:top w:val="nil"/>
                    <w:bottom w:val="nil"/>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outlineLvl w:val="9"/>
                    <w:rPr>
                      <w:rFonts w:hint="eastAsia" w:ascii="宋体" w:hAnsi="宋体" w:eastAsia="宋体" w:cs="宋体"/>
                      <w:color w:val="404040"/>
                      <w:sz w:val="24"/>
                      <w:szCs w:val="24"/>
                    </w:rPr>
                  </w:pPr>
                  <w:r>
                    <w:rPr>
                      <w:rFonts w:hint="eastAsia" w:ascii="宋体" w:hAnsi="宋体" w:eastAsia="宋体" w:cs="宋体"/>
                      <w:color w:val="404040"/>
                      <w:sz w:val="24"/>
                      <w:szCs w:val="24"/>
                    </w:rPr>
                    <w:t>  </w:t>
                  </w:r>
                  <w:r>
                    <w:rPr>
                      <w:rFonts w:hint="eastAsia" w:ascii="宋体" w:hAnsi="宋体" w:eastAsia="宋体" w:cs="宋体"/>
                      <w:color w:val="404040"/>
                      <w:sz w:val="24"/>
                      <w:szCs w:val="24"/>
                      <w:lang w:val="en-US" w:eastAsia="zh-CN"/>
                    </w:rPr>
                    <w:t xml:space="preserve">  </w:t>
                  </w:r>
                  <w:r>
                    <w:rPr>
                      <w:rFonts w:hint="eastAsia" w:ascii="宋体" w:hAnsi="宋体" w:eastAsia="宋体" w:cs="宋体"/>
                      <w:color w:val="404040"/>
                      <w:sz w:val="24"/>
                      <w:szCs w:val="24"/>
                    </w:rPr>
                    <w:t>财产净收入</w:t>
                  </w:r>
                </w:p>
              </w:tc>
              <w:tc>
                <w:tcPr>
                  <w:tcW w:w="2013"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lang w:val="en-US" w:eastAsia="zh-CN"/>
                    </w:rPr>
                  </w:pPr>
                  <w:r>
                    <w:rPr>
                      <w:rFonts w:hint="eastAsia" w:ascii="宋体" w:hAnsi="宋体" w:eastAsia="宋体" w:cs="宋体"/>
                      <w:i w:val="0"/>
                      <w:color w:val="000000"/>
                      <w:kern w:val="0"/>
                      <w:sz w:val="24"/>
                      <w:szCs w:val="24"/>
                      <w:u w:val="none"/>
                      <w:lang w:val="en-US" w:eastAsia="zh-CN" w:bidi="ar"/>
                    </w:rPr>
                    <w:t xml:space="preserve">1941 </w:t>
                  </w:r>
                </w:p>
              </w:tc>
              <w:tc>
                <w:tcPr>
                  <w:tcW w:w="2087"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lang w:val="en-US" w:eastAsia="zh-CN"/>
                    </w:rPr>
                  </w:pPr>
                  <w:r>
                    <w:rPr>
                      <w:rFonts w:hint="eastAsia" w:ascii="宋体" w:hAnsi="宋体" w:eastAsia="宋体" w:cs="宋体"/>
                      <w:i w:val="0"/>
                      <w:color w:val="000000"/>
                      <w:kern w:val="0"/>
                      <w:sz w:val="24"/>
                      <w:szCs w:val="24"/>
                      <w:u w:val="none"/>
                      <w:lang w:val="en-US" w:eastAsia="zh-CN" w:bidi="ar"/>
                    </w:rPr>
                    <w:t xml:space="preserve">4.4 </w:t>
                  </w:r>
                </w:p>
              </w:tc>
              <w:tc>
                <w:tcPr>
                  <w:tcW w:w="2129"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lang w:val="en-US" w:eastAsia="zh-CN"/>
                    </w:rPr>
                  </w:pPr>
                  <w:r>
                    <w:rPr>
                      <w:rFonts w:hint="eastAsia" w:ascii="宋体" w:hAnsi="宋体" w:eastAsia="宋体" w:cs="宋体"/>
                      <w:i w:val="0"/>
                      <w:color w:val="000000"/>
                      <w:kern w:val="0"/>
                      <w:sz w:val="24"/>
                      <w:szCs w:val="24"/>
                      <w:u w:val="none"/>
                      <w:lang w:val="en-US" w:eastAsia="zh-CN" w:bidi="ar"/>
                    </w:rPr>
                    <w:t xml:space="preserve">2808 </w:t>
                  </w:r>
                </w:p>
              </w:tc>
              <w:tc>
                <w:tcPr>
                  <w:tcW w:w="2195" w:type="dxa"/>
                  <w:gridSpan w:val="2"/>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lang w:val="en-US" w:eastAsia="zh-CN"/>
                    </w:rPr>
                  </w:pPr>
                  <w:r>
                    <w:rPr>
                      <w:rFonts w:hint="eastAsia" w:ascii="宋体" w:hAnsi="宋体" w:eastAsia="宋体" w:cs="宋体"/>
                      <w:i w:val="0"/>
                      <w:color w:val="000000"/>
                      <w:kern w:val="0"/>
                      <w:sz w:val="24"/>
                      <w:szCs w:val="24"/>
                      <w:u w:val="none"/>
                      <w:lang w:val="en-US" w:eastAsia="zh-CN" w:bidi="ar"/>
                    </w:rPr>
                    <w:t xml:space="preserve">-0.5 </w:t>
                  </w:r>
                </w:p>
              </w:tc>
            </w:tr>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CellMar>
                  <w:top w:w="0" w:type="dxa"/>
                  <w:left w:w="0" w:type="dxa"/>
                  <w:bottom w:w="0" w:type="dxa"/>
                  <w:right w:w="0" w:type="dxa"/>
                </w:tblCellMar>
              </w:tblPrEx>
              <w:trPr>
                <w:trHeight w:val="386" w:hRule="exact"/>
              </w:trPr>
              <w:tc>
                <w:tcPr>
                  <w:tcW w:w="4767" w:type="dxa"/>
                  <w:tcBorders>
                    <w:top w:val="nil"/>
                    <w:bottom w:val="single" w:color="auto" w:sz="12" w:space="0"/>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outlineLvl w:val="9"/>
                    <w:rPr>
                      <w:rFonts w:hint="eastAsia" w:ascii="宋体" w:hAnsi="宋体" w:eastAsia="宋体" w:cs="宋体"/>
                      <w:color w:val="404040"/>
                      <w:sz w:val="24"/>
                      <w:szCs w:val="24"/>
                    </w:rPr>
                  </w:pPr>
                  <w:r>
                    <w:rPr>
                      <w:rFonts w:hint="eastAsia" w:ascii="宋体" w:hAnsi="宋体" w:eastAsia="宋体" w:cs="宋体"/>
                      <w:color w:val="404040"/>
                      <w:sz w:val="24"/>
                      <w:szCs w:val="24"/>
                    </w:rPr>
                    <w:t>  </w:t>
                  </w:r>
                  <w:r>
                    <w:rPr>
                      <w:rFonts w:hint="eastAsia" w:ascii="宋体" w:hAnsi="宋体" w:eastAsia="宋体" w:cs="宋体"/>
                      <w:color w:val="404040"/>
                      <w:sz w:val="24"/>
                      <w:szCs w:val="24"/>
                      <w:lang w:val="en-US" w:eastAsia="zh-CN"/>
                    </w:rPr>
                    <w:t xml:space="preserve">  </w:t>
                  </w:r>
                  <w:r>
                    <w:rPr>
                      <w:rFonts w:hint="eastAsia" w:ascii="宋体" w:hAnsi="宋体" w:eastAsia="宋体" w:cs="宋体"/>
                      <w:color w:val="404040"/>
                      <w:sz w:val="24"/>
                      <w:szCs w:val="24"/>
                    </w:rPr>
                    <w:t>转移净收入</w:t>
                  </w:r>
                </w:p>
              </w:tc>
              <w:tc>
                <w:tcPr>
                  <w:tcW w:w="2013" w:type="dxa"/>
                  <w:tcBorders>
                    <w:top w:val="nil"/>
                    <w:bottom w:val="single" w:color="auto" w:sz="1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lang w:val="en-US" w:eastAsia="zh-CN"/>
                    </w:rPr>
                  </w:pPr>
                  <w:r>
                    <w:rPr>
                      <w:rFonts w:hint="eastAsia" w:ascii="宋体" w:hAnsi="宋体" w:eastAsia="宋体" w:cs="宋体"/>
                      <w:i w:val="0"/>
                      <w:color w:val="000000"/>
                      <w:kern w:val="0"/>
                      <w:sz w:val="24"/>
                      <w:szCs w:val="24"/>
                      <w:u w:val="none"/>
                      <w:lang w:val="en-US" w:eastAsia="zh-CN" w:bidi="ar"/>
                    </w:rPr>
                    <w:t xml:space="preserve">3100 </w:t>
                  </w:r>
                </w:p>
              </w:tc>
              <w:tc>
                <w:tcPr>
                  <w:tcW w:w="2087" w:type="dxa"/>
                  <w:tcBorders>
                    <w:top w:val="nil"/>
                    <w:bottom w:val="single" w:color="auto" w:sz="1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lang w:val="en-US" w:eastAsia="zh-CN"/>
                    </w:rPr>
                  </w:pPr>
                  <w:r>
                    <w:rPr>
                      <w:rFonts w:hint="eastAsia" w:ascii="宋体" w:hAnsi="宋体" w:eastAsia="宋体" w:cs="宋体"/>
                      <w:i w:val="0"/>
                      <w:color w:val="000000"/>
                      <w:kern w:val="0"/>
                      <w:sz w:val="24"/>
                      <w:szCs w:val="24"/>
                      <w:u w:val="none"/>
                      <w:lang w:val="en-US" w:eastAsia="zh-CN" w:bidi="ar"/>
                    </w:rPr>
                    <w:t xml:space="preserve">5.9 </w:t>
                  </w:r>
                </w:p>
              </w:tc>
              <w:tc>
                <w:tcPr>
                  <w:tcW w:w="2129" w:type="dxa"/>
                  <w:tcBorders>
                    <w:top w:val="nil"/>
                    <w:bottom w:val="single" w:color="auto" w:sz="1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lang w:val="en-US" w:eastAsia="zh-CN"/>
                    </w:rPr>
                  </w:pPr>
                  <w:r>
                    <w:rPr>
                      <w:rFonts w:hint="eastAsia" w:ascii="宋体" w:hAnsi="宋体" w:eastAsia="宋体" w:cs="宋体"/>
                      <w:i w:val="0"/>
                      <w:color w:val="000000"/>
                      <w:kern w:val="0"/>
                      <w:sz w:val="24"/>
                      <w:szCs w:val="24"/>
                      <w:u w:val="none"/>
                      <w:lang w:val="en-US" w:eastAsia="zh-CN" w:bidi="ar"/>
                    </w:rPr>
                    <w:t xml:space="preserve">1575 </w:t>
                  </w:r>
                </w:p>
              </w:tc>
              <w:tc>
                <w:tcPr>
                  <w:tcW w:w="2195" w:type="dxa"/>
                  <w:gridSpan w:val="2"/>
                  <w:tcBorders>
                    <w:top w:val="nil"/>
                    <w:bottom w:val="single" w:color="auto" w:sz="1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lang w:val="en-US" w:eastAsia="zh-CN"/>
                    </w:rPr>
                  </w:pPr>
                  <w:r>
                    <w:rPr>
                      <w:rFonts w:hint="eastAsia" w:ascii="宋体" w:hAnsi="宋体" w:eastAsia="宋体" w:cs="宋体"/>
                      <w:i w:val="0"/>
                      <w:color w:val="000000"/>
                      <w:kern w:val="0"/>
                      <w:sz w:val="24"/>
                      <w:szCs w:val="24"/>
                      <w:u w:val="none"/>
                      <w:lang w:val="en-US" w:eastAsia="zh-CN" w:bidi="ar"/>
                    </w:rPr>
                    <w:t xml:space="preserve">22.6 </w:t>
                  </w:r>
                </w:p>
              </w:tc>
            </w:tr>
          </w:tbl>
          <w:p>
            <w:pPr>
              <w:pStyle w:val="2"/>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32" w:type="dxa"/>
          <w:trHeight w:val="5639" w:hRule="atLeast"/>
        </w:trPr>
        <w:tc>
          <w:tcPr>
            <w:tcW w:w="13236" w:type="dxa"/>
            <w:gridSpan w:val="7"/>
            <w:tcBorders>
              <w:tl2br w:val="nil"/>
              <w:tr2bl w:val="nil"/>
            </w:tcBorders>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300" w:lineRule="exact"/>
              <w:jc w:val="left"/>
              <w:textAlignment w:val="auto"/>
              <w:outlineLvl w:val="9"/>
              <w:rPr>
                <w:rFonts w:ascii="楷体_GB2312" w:hAnsi="宋体" w:eastAsia="楷体_GB2312" w:cs="宋体"/>
                <w:kern w:val="0"/>
                <w:sz w:val="24"/>
                <w:szCs w:val="24"/>
              </w:rPr>
            </w:pPr>
            <w:r>
              <w:rPr>
                <w:rFonts w:hint="eastAsia" w:ascii="楷体_GB2312" w:hAnsi="宋体" w:eastAsia="楷体_GB2312" w:cs="宋体"/>
                <w:kern w:val="0"/>
                <w:sz w:val="24"/>
                <w:szCs w:val="24"/>
              </w:rPr>
              <w:t>注释：</w:t>
            </w:r>
          </w:p>
          <w:p>
            <w:pPr>
              <w:keepNext w:val="0"/>
              <w:keepLines w:val="0"/>
              <w:pageBreakBefore w:val="0"/>
              <w:widowControl w:val="0"/>
              <w:numPr>
                <w:ilvl w:val="0"/>
                <w:numId w:val="1"/>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300" w:lineRule="exact"/>
              <w:jc w:val="left"/>
              <w:textAlignment w:val="auto"/>
              <w:outlineLvl w:val="9"/>
              <w:rPr>
                <w:rFonts w:hint="eastAsia" w:ascii="楷体_GB2312" w:hAnsi="宋体" w:eastAsia="楷体_GB2312" w:cs="宋体"/>
                <w:b/>
                <w:kern w:val="0"/>
                <w:sz w:val="24"/>
                <w:szCs w:val="24"/>
              </w:rPr>
            </w:pPr>
            <w:r>
              <w:rPr>
                <w:rFonts w:hint="eastAsia" w:ascii="楷体_GB2312" w:hAnsi="宋体" w:eastAsia="楷体_GB2312" w:cs="宋体"/>
                <w:b/>
                <w:kern w:val="0"/>
                <w:sz w:val="24"/>
                <w:szCs w:val="24"/>
              </w:rPr>
              <w:t>统计范围：</w:t>
            </w:r>
            <w:r>
              <w:rPr>
                <w:rFonts w:hint="eastAsia" w:ascii="楷体_GB2312" w:hAnsi="宋体" w:eastAsia="楷体_GB2312" w:cs="宋体"/>
                <w:b w:val="0"/>
                <w:bCs/>
                <w:kern w:val="0"/>
                <w:sz w:val="24"/>
                <w:szCs w:val="24"/>
              </w:rPr>
              <w:t>住户调查对象为中华人民共和国境内的住户，既包括城镇住户，也包括农村住户；既包括以家庭形式居住的户，也包括以集体形式居住的户。调查对象按照常住地确定，既包括户口在本地的住户，也包括户口在外地、但在本地居住一定时间（通常为半年）以上的住户。城镇范围为《统计上划分城乡的规定》中被界定为“城镇”的区域，农村范围为《统计上划分城乡的规定》中被界定为“乡村”的区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Chars="0"/>
              <w:jc w:val="left"/>
              <w:textAlignment w:val="auto"/>
              <w:outlineLvl w:val="9"/>
              <w:rPr>
                <w:rFonts w:hint="eastAsia" w:ascii="楷体_GB2312" w:hAnsi="宋体" w:eastAsia="楷体_GB2312" w:cs="宋体"/>
                <w:b w:val="0"/>
                <w:bCs/>
                <w:kern w:val="0"/>
                <w:sz w:val="24"/>
                <w:szCs w:val="24"/>
              </w:rPr>
            </w:pPr>
            <w:r>
              <w:rPr>
                <w:rFonts w:hint="eastAsia" w:ascii="楷体_GB2312" w:hAnsi="宋体" w:eastAsia="楷体_GB2312" w:cs="宋体"/>
                <w:b/>
                <w:kern w:val="0"/>
                <w:sz w:val="24"/>
                <w:szCs w:val="24"/>
                <w:lang w:val="en-US" w:eastAsia="zh-CN"/>
              </w:rPr>
              <w:t>2、</w:t>
            </w:r>
            <w:r>
              <w:rPr>
                <w:rFonts w:hint="eastAsia" w:ascii="楷体_GB2312" w:hAnsi="宋体" w:eastAsia="楷体_GB2312" w:cs="宋体"/>
                <w:b/>
                <w:kern w:val="0"/>
                <w:sz w:val="24"/>
                <w:szCs w:val="24"/>
              </w:rPr>
              <w:t>采集渠道：</w:t>
            </w:r>
            <w:r>
              <w:rPr>
                <w:rFonts w:hint="eastAsia" w:ascii="楷体_GB2312" w:hAnsi="宋体" w:eastAsia="楷体_GB2312" w:cs="宋体"/>
                <w:b w:val="0"/>
                <w:bCs/>
                <w:kern w:val="0"/>
                <w:sz w:val="24"/>
                <w:szCs w:val="24"/>
              </w:rPr>
              <w:t>住户调查采用日记账和问卷调查相结合的方式采集基础数据。其中，居民现金收入与支出、实物收入与支出等内容主要使用记账方式采集。住户成员及劳动力从业情况、住房和耐用品拥有量情况、家庭经营和生产投资情况、社区基本情况及其他民生状况等资料使用问卷调查方式采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jc w:val="left"/>
              <w:textAlignment w:val="auto"/>
              <w:outlineLvl w:val="9"/>
              <w:rPr>
                <w:rFonts w:hint="eastAsia" w:ascii="楷体_GB2312" w:hAnsi="宋体" w:eastAsia="楷体_GB2312" w:cs="宋体"/>
                <w:b w:val="0"/>
                <w:bCs/>
                <w:kern w:val="0"/>
                <w:sz w:val="24"/>
                <w:szCs w:val="24"/>
              </w:rPr>
            </w:pPr>
            <w:r>
              <w:rPr>
                <w:rFonts w:hint="eastAsia" w:ascii="楷体_GB2312" w:hAnsi="宋体" w:eastAsia="楷体_GB2312" w:cs="宋体"/>
                <w:b/>
                <w:kern w:val="0"/>
                <w:sz w:val="24"/>
                <w:szCs w:val="24"/>
                <w:lang w:val="en-US" w:eastAsia="zh-CN"/>
              </w:rPr>
              <w:t>3</w:t>
            </w:r>
            <w:r>
              <w:rPr>
                <w:rFonts w:hint="eastAsia" w:ascii="楷体_GB2312" w:hAnsi="宋体" w:eastAsia="楷体_GB2312" w:cs="宋体"/>
                <w:b/>
                <w:kern w:val="0"/>
                <w:sz w:val="24"/>
                <w:szCs w:val="24"/>
              </w:rPr>
              <w:t>、主要统计指标解释：</w:t>
            </w:r>
            <w:r>
              <w:rPr>
                <w:rFonts w:hint="eastAsia" w:ascii="楷体_GB2312" w:hAnsi="宋体" w:eastAsia="楷体_GB2312" w:cs="宋体"/>
                <w:b w:val="0"/>
                <w:bCs/>
                <w:kern w:val="0"/>
                <w:sz w:val="24"/>
                <w:szCs w:val="24"/>
              </w:rPr>
              <w:t>可支配收入：指调查户在调查期内获得的、可用于最终消费支出和储蓄的总和，即调查户可以用来自由支配的收入。可支配收入既包括现金，也包括实物收入。按照收入的来源，可支配收入包含四项，分别为：工资性收入、经营净收入、财产净收入和转移净收入。计算公式为：可支配收入＝工资性收入+经营净收入+财产净收入+转移净收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jc w:val="left"/>
              <w:textAlignment w:val="auto"/>
              <w:outlineLvl w:val="9"/>
              <w:rPr>
                <w:rFonts w:hint="eastAsia"/>
                <w:lang w:val="en-US" w:eastAsia="zh-CN"/>
              </w:rPr>
            </w:pPr>
            <w:r>
              <w:rPr>
                <w:rFonts w:hint="eastAsia" w:ascii="楷体_GB2312" w:hAnsi="宋体" w:eastAsia="楷体_GB2312" w:cs="宋体"/>
                <w:b w:val="0"/>
                <w:bCs/>
                <w:kern w:val="0"/>
                <w:sz w:val="24"/>
                <w:szCs w:val="24"/>
              </w:rPr>
              <w:t>工资性收入：指就业人员通过各种途径得到的全部劳动报酬和各种福利，包括受雇于单位或个人、从事各种自由职业、兼职和零星劳动得到的全部劳动报酬和福利。 经营净收入：指住户或住户成员从事生产经营活动所获得的净收入，是全部经营收入中扣除经营费用、生产性固定资产折旧和生产税之后得到的净收入。财产净收入：指住户或住户成员将其所拥有的金融资产、住房等非金融资产和自然资源交由其他机构单位、住户或个人支配而获得的回报并扣除相关的费用之后得到的净收入。财产净收入不包括转让资产所有权的溢价所得，这应该计入“非收入所得”</w:t>
            </w:r>
            <w:r>
              <w:rPr>
                <w:rFonts w:hint="eastAsia" w:ascii="楷体_GB2312" w:hAnsi="宋体" w:eastAsia="楷体_GB2312" w:cs="宋体"/>
                <w:b w:val="0"/>
                <w:bCs/>
                <w:kern w:val="0"/>
                <w:sz w:val="24"/>
                <w:szCs w:val="24"/>
                <w:lang w:eastAsia="zh-CN"/>
              </w:rPr>
              <w:t>。</w:t>
            </w:r>
            <w:r>
              <w:rPr>
                <w:rFonts w:hint="eastAsia" w:ascii="楷体_GB2312" w:hAnsi="宋体" w:eastAsia="楷体_GB2312" w:cs="宋体"/>
                <w:b w:val="0"/>
                <w:bCs/>
                <w:kern w:val="0"/>
                <w:sz w:val="24"/>
                <w:szCs w:val="24"/>
              </w:rPr>
              <w:t>转移净收入：指国家、单位、社会团体对住户的各种经常性转移支付和住户之间的经常性收入转移，在扣减调查户对国家、单位、住户或者个人的经常性或义务性转移支付后的净收入。</w:t>
            </w:r>
          </w:p>
        </w:tc>
      </w:tr>
    </w:tbl>
    <w:tbl>
      <w:tblPr>
        <w:tblStyle w:val="6"/>
        <w:tblpPr w:leftFromText="180" w:rightFromText="180" w:vertAnchor="text" w:horzAnchor="page" w:tblpX="1790" w:tblpY="296"/>
        <w:tblOverlap w:val="never"/>
        <w:tblW w:w="13600" w:type="dxa"/>
        <w:tblInd w:w="0" w:type="dxa"/>
        <w:tblLayout w:type="fixed"/>
        <w:tblCellMar>
          <w:top w:w="0" w:type="dxa"/>
          <w:left w:w="0" w:type="dxa"/>
          <w:bottom w:w="0" w:type="dxa"/>
          <w:right w:w="0" w:type="dxa"/>
        </w:tblCellMar>
      </w:tblPr>
      <w:tblGrid>
        <w:gridCol w:w="5045"/>
        <w:gridCol w:w="2194"/>
        <w:gridCol w:w="2193"/>
        <w:gridCol w:w="1974"/>
        <w:gridCol w:w="2194"/>
      </w:tblGrid>
      <w:tr>
        <w:tblPrEx>
          <w:tblCellMar>
            <w:top w:w="0" w:type="dxa"/>
            <w:left w:w="0" w:type="dxa"/>
            <w:bottom w:w="0" w:type="dxa"/>
            <w:right w:w="0" w:type="dxa"/>
          </w:tblCellMar>
        </w:tblPrEx>
        <w:trPr>
          <w:trHeight w:val="694" w:hRule="exact"/>
        </w:trPr>
        <w:tc>
          <w:tcPr>
            <w:tcW w:w="13600" w:type="dxa"/>
            <w:gridSpan w:val="5"/>
            <w:tcBorders>
              <w:top w:val="nil"/>
              <w:left w:val="nil"/>
              <w:bottom w:val="single" w:color="auto" w:sz="12" w:space="0"/>
              <w:right w:val="nil"/>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color w:val="404040"/>
                <w:sz w:val="30"/>
                <w:szCs w:val="30"/>
              </w:rPr>
            </w:pPr>
            <w:r>
              <w:rPr>
                <w:rFonts w:hint="eastAsia" w:ascii="Times New Roman" w:hAnsi="Times New Roman" w:eastAsia="宋体" w:cs="Times New Roman"/>
                <w:b/>
                <w:color w:val="0000FF"/>
                <w:kern w:val="2"/>
                <w:sz w:val="36"/>
                <w:szCs w:val="36"/>
                <w:lang w:val="en-US" w:eastAsia="zh-CN" w:bidi="ar-SA"/>
              </w:rPr>
              <w:t>居民收支统计数据：2024年</w:t>
            </w:r>
            <w:r>
              <w:rPr>
                <w:rFonts w:hint="default" w:ascii="Times New Roman" w:hAnsi="Times New Roman" w:eastAsia="宋体" w:cs="Times New Roman"/>
                <w:b/>
                <w:color w:val="0000FF"/>
                <w:kern w:val="2"/>
                <w:sz w:val="36"/>
                <w:szCs w:val="36"/>
                <w:lang w:val="en" w:eastAsia="zh-CN" w:bidi="ar-SA"/>
              </w:rPr>
              <w:t>1-3季</w:t>
            </w:r>
            <w:r>
              <w:rPr>
                <w:rFonts w:hint="eastAsia" w:ascii="Times New Roman" w:hAnsi="Times New Roman" w:eastAsia="宋体" w:cs="Times New Roman"/>
                <w:b/>
                <w:color w:val="0000FF"/>
                <w:kern w:val="2"/>
                <w:sz w:val="36"/>
                <w:szCs w:val="36"/>
                <w:lang w:val="en-US" w:eastAsia="zh-CN" w:bidi="ar-SA"/>
              </w:rPr>
              <w:t>度居民人均消费支出情况</w:t>
            </w:r>
          </w:p>
        </w:tc>
      </w:tr>
      <w:tr>
        <w:tblPrEx>
          <w:tblCellMar>
            <w:top w:w="0" w:type="dxa"/>
            <w:left w:w="0" w:type="dxa"/>
            <w:bottom w:w="0" w:type="dxa"/>
            <w:right w:w="0" w:type="dxa"/>
          </w:tblCellMar>
        </w:tblPrEx>
        <w:trPr>
          <w:trHeight w:val="487" w:hRule="exact"/>
        </w:trPr>
        <w:tc>
          <w:tcPr>
            <w:tcW w:w="5045" w:type="dxa"/>
            <w:vMerge w:val="restart"/>
            <w:tcBorders>
              <w:top w:val="single" w:color="auto" w:sz="12" w:space="0"/>
              <w:left w:val="nil"/>
              <w:bottom w:val="single" w:color="auto" w:sz="2" w:space="0"/>
              <w:right w:val="single" w:color="auto" w:sz="2" w:space="0"/>
            </w:tcBorders>
            <w:tcMar>
              <w:left w:w="84" w:type="dxa"/>
              <w:right w:w="84" w:type="dxa"/>
            </w:tcMar>
            <w:vAlign w:val="center"/>
          </w:tcPr>
          <w:p>
            <w:pPr>
              <w:keepNext w:val="0"/>
              <w:keepLines w:val="0"/>
              <w:pageBreakBefore w:val="0"/>
              <w:kinsoku/>
              <w:wordWrap/>
              <w:overflowPunct/>
              <w:topLinePunct w:val="0"/>
              <w:autoSpaceDE/>
              <w:autoSpaceDN/>
              <w:bidi w:val="0"/>
              <w:adjustRightInd w:val="0"/>
              <w:snapToGrid w:val="0"/>
              <w:jc w:val="center"/>
              <w:outlineLvl w:val="9"/>
              <w:rPr>
                <w:rFonts w:hint="eastAsia" w:ascii="宋体" w:hAnsi="宋体" w:eastAsia="宋体" w:cs="宋体"/>
                <w:sz w:val="24"/>
                <w:szCs w:val="24"/>
              </w:rPr>
            </w:pPr>
            <w:r>
              <w:rPr>
                <w:rFonts w:hint="eastAsia" w:ascii="宋体" w:hAnsi="宋体" w:eastAsia="宋体" w:cs="宋体"/>
                <w:sz w:val="24"/>
                <w:szCs w:val="24"/>
              </w:rPr>
              <w:t>指 标 名 称</w:t>
            </w:r>
          </w:p>
        </w:tc>
        <w:tc>
          <w:tcPr>
            <w:tcW w:w="4387" w:type="dxa"/>
            <w:gridSpan w:val="2"/>
            <w:tcBorders>
              <w:top w:val="single" w:color="auto" w:sz="12" w:space="0"/>
              <w:left w:val="single" w:color="auto" w:sz="2" w:space="0"/>
              <w:bottom w:val="single" w:color="auto" w:sz="2" w:space="0"/>
              <w:right w:val="single" w:color="auto" w:sz="2" w:space="0"/>
            </w:tcBorders>
            <w:tcMar>
              <w:left w:w="84" w:type="dxa"/>
              <w:right w:w="84" w:type="dxa"/>
            </w:tcMar>
            <w:vAlign w:val="center"/>
          </w:tcPr>
          <w:p>
            <w:pPr>
              <w:keepNext w:val="0"/>
              <w:keepLines w:val="0"/>
              <w:pageBreakBefore w:val="0"/>
              <w:kinsoku/>
              <w:wordWrap/>
              <w:overflowPunct/>
              <w:topLinePunct w:val="0"/>
              <w:autoSpaceDE/>
              <w:autoSpaceDN/>
              <w:bidi w:val="0"/>
              <w:adjustRightInd w:val="0"/>
              <w:snapToGrid w:val="0"/>
              <w:jc w:val="center"/>
              <w:outlineLvl w:val="9"/>
              <w:rPr>
                <w:rStyle w:val="8"/>
                <w:rFonts w:hint="eastAsia" w:ascii="宋体" w:hAnsi="宋体" w:eastAsia="宋体" w:cs="宋体"/>
                <w:b w:val="0"/>
                <w:bCs/>
                <w:color w:val="404040"/>
                <w:sz w:val="24"/>
                <w:szCs w:val="24"/>
                <w:lang w:eastAsia="zh-CN"/>
              </w:rPr>
            </w:pPr>
            <w:r>
              <w:rPr>
                <w:rStyle w:val="8"/>
                <w:rFonts w:hint="eastAsia" w:ascii="宋体" w:hAnsi="宋体" w:eastAsia="宋体" w:cs="宋体"/>
                <w:b w:val="0"/>
                <w:bCs/>
                <w:color w:val="404040"/>
                <w:sz w:val="24"/>
                <w:szCs w:val="24"/>
                <w:lang w:eastAsia="zh-CN"/>
              </w:rPr>
              <w:t>全区居民</w:t>
            </w:r>
          </w:p>
        </w:tc>
        <w:tc>
          <w:tcPr>
            <w:tcW w:w="4168" w:type="dxa"/>
            <w:gridSpan w:val="2"/>
            <w:tcBorders>
              <w:top w:val="single" w:color="auto" w:sz="12" w:space="0"/>
              <w:left w:val="single" w:color="auto" w:sz="2" w:space="0"/>
              <w:bottom w:val="single" w:color="auto" w:sz="2" w:space="0"/>
              <w:right w:val="nil"/>
            </w:tcBorders>
            <w:tcMar>
              <w:left w:w="84" w:type="dxa"/>
              <w:right w:w="84" w:type="dxa"/>
            </w:tcMar>
            <w:vAlign w:val="center"/>
          </w:tcPr>
          <w:p>
            <w:pPr>
              <w:keepNext w:val="0"/>
              <w:keepLines w:val="0"/>
              <w:pageBreakBefore w:val="0"/>
              <w:kinsoku/>
              <w:wordWrap/>
              <w:overflowPunct/>
              <w:topLinePunct w:val="0"/>
              <w:autoSpaceDE/>
              <w:autoSpaceDN/>
              <w:bidi w:val="0"/>
              <w:adjustRightInd w:val="0"/>
              <w:snapToGrid w:val="0"/>
              <w:jc w:val="center"/>
              <w:outlineLvl w:val="9"/>
              <w:rPr>
                <w:rStyle w:val="8"/>
                <w:rFonts w:hint="eastAsia" w:ascii="宋体" w:hAnsi="宋体" w:eastAsia="宋体" w:cs="宋体"/>
                <w:b w:val="0"/>
                <w:bCs/>
                <w:color w:val="404040"/>
                <w:sz w:val="24"/>
                <w:szCs w:val="24"/>
                <w:lang w:eastAsia="zh-CN"/>
              </w:rPr>
            </w:pPr>
            <w:r>
              <w:rPr>
                <w:rStyle w:val="8"/>
                <w:rFonts w:hint="eastAsia" w:ascii="宋体" w:hAnsi="宋体" w:eastAsia="宋体" w:cs="宋体"/>
                <w:b w:val="0"/>
                <w:bCs/>
                <w:color w:val="404040"/>
                <w:sz w:val="24"/>
                <w:szCs w:val="24"/>
                <w:lang w:eastAsia="zh-CN"/>
              </w:rPr>
              <w:t>城镇居民</w:t>
            </w:r>
          </w:p>
        </w:tc>
      </w:tr>
      <w:tr>
        <w:tblPrEx>
          <w:tblCellMar>
            <w:top w:w="0" w:type="dxa"/>
            <w:left w:w="0" w:type="dxa"/>
            <w:bottom w:w="0" w:type="dxa"/>
            <w:right w:w="0" w:type="dxa"/>
          </w:tblCellMar>
        </w:tblPrEx>
        <w:trPr>
          <w:trHeight w:val="536" w:hRule="exact"/>
        </w:trPr>
        <w:tc>
          <w:tcPr>
            <w:tcW w:w="5045" w:type="dxa"/>
            <w:vMerge w:val="continue"/>
            <w:tcBorders>
              <w:top w:val="single" w:color="auto" w:sz="2" w:space="0"/>
              <w:left w:val="nil"/>
              <w:bottom w:val="single" w:color="auto" w:sz="2" w:space="0"/>
              <w:right w:val="single" w:color="auto" w:sz="2" w:space="0"/>
            </w:tcBorders>
            <w:tcMar>
              <w:left w:w="84" w:type="dxa"/>
              <w:right w:w="84" w:type="dxa"/>
            </w:tcMar>
            <w:vAlign w:val="center"/>
          </w:tcPr>
          <w:p>
            <w:pPr>
              <w:keepNext w:val="0"/>
              <w:keepLines w:val="0"/>
              <w:pageBreakBefore w:val="0"/>
              <w:kinsoku/>
              <w:wordWrap/>
              <w:overflowPunct/>
              <w:topLinePunct w:val="0"/>
              <w:autoSpaceDE/>
              <w:autoSpaceDN/>
              <w:bidi w:val="0"/>
              <w:adjustRightInd w:val="0"/>
              <w:snapToGrid w:val="0"/>
              <w:jc w:val="center"/>
              <w:outlineLvl w:val="9"/>
              <w:rPr>
                <w:rFonts w:hint="eastAsia" w:ascii="宋体" w:hAnsi="宋体" w:eastAsia="宋体" w:cs="宋体"/>
                <w:sz w:val="24"/>
                <w:szCs w:val="24"/>
              </w:rPr>
            </w:pPr>
          </w:p>
        </w:tc>
        <w:tc>
          <w:tcPr>
            <w:tcW w:w="2194" w:type="dxa"/>
            <w:tcBorders>
              <w:top w:val="single" w:color="auto" w:sz="2" w:space="0"/>
              <w:left w:val="single" w:color="auto" w:sz="2" w:space="0"/>
              <w:bottom w:val="single" w:color="auto" w:sz="2" w:space="0"/>
              <w:right w:val="single" w:color="auto" w:sz="2" w:space="0"/>
            </w:tcBorders>
            <w:tcMar>
              <w:left w:w="84" w:type="dxa"/>
              <w:right w:w="84" w:type="dxa"/>
            </w:tcMar>
            <w:vAlign w:val="center"/>
          </w:tcPr>
          <w:p>
            <w:pPr>
              <w:keepNext w:val="0"/>
              <w:keepLines w:val="0"/>
              <w:pageBreakBefore w:val="0"/>
              <w:kinsoku/>
              <w:wordWrap/>
              <w:overflowPunct/>
              <w:topLinePunct w:val="0"/>
              <w:autoSpaceDE/>
              <w:autoSpaceDN/>
              <w:bidi w:val="0"/>
              <w:adjustRightInd w:val="0"/>
              <w:snapToGrid w:val="0"/>
              <w:jc w:val="center"/>
              <w:outlineLvl w:val="9"/>
              <w:rPr>
                <w:rStyle w:val="8"/>
                <w:rFonts w:hint="eastAsia" w:ascii="宋体" w:hAnsi="宋体" w:eastAsia="宋体" w:cs="宋体"/>
                <w:b w:val="0"/>
                <w:bCs/>
                <w:color w:val="404040"/>
                <w:sz w:val="24"/>
                <w:szCs w:val="24"/>
                <w:lang w:eastAsia="zh-CN"/>
              </w:rPr>
            </w:pPr>
            <w:r>
              <w:rPr>
                <w:rStyle w:val="8"/>
                <w:rFonts w:hint="eastAsia" w:ascii="宋体" w:hAnsi="宋体" w:cs="宋体"/>
                <w:b w:val="0"/>
                <w:bCs/>
                <w:color w:val="404040"/>
                <w:sz w:val="24"/>
                <w:szCs w:val="24"/>
                <w:lang w:eastAsia="zh-CN"/>
              </w:rPr>
              <w:t>2024年</w:t>
            </w:r>
            <w:r>
              <w:rPr>
                <w:rStyle w:val="8"/>
                <w:rFonts w:hint="default" w:ascii="宋体" w:hAnsi="宋体" w:cs="宋体"/>
                <w:b w:val="0"/>
                <w:bCs/>
                <w:color w:val="404040"/>
                <w:sz w:val="24"/>
                <w:szCs w:val="24"/>
                <w:lang w:val="en" w:eastAsia="zh-CN"/>
              </w:rPr>
              <w:t>1-3季</w:t>
            </w:r>
            <w:r>
              <w:rPr>
                <w:rStyle w:val="8"/>
                <w:rFonts w:hint="eastAsia" w:ascii="宋体" w:hAnsi="宋体" w:cs="宋体"/>
                <w:b w:val="0"/>
                <w:bCs/>
                <w:color w:val="404040"/>
                <w:sz w:val="24"/>
                <w:szCs w:val="24"/>
                <w:lang w:eastAsia="zh-CN"/>
              </w:rPr>
              <w:t>度</w:t>
            </w:r>
          </w:p>
        </w:tc>
        <w:tc>
          <w:tcPr>
            <w:tcW w:w="2193" w:type="dxa"/>
            <w:tcBorders>
              <w:top w:val="single" w:color="auto" w:sz="2" w:space="0"/>
              <w:left w:val="single" w:color="auto" w:sz="2" w:space="0"/>
              <w:bottom w:val="single" w:color="auto" w:sz="2" w:space="0"/>
              <w:right w:val="single" w:color="auto" w:sz="2" w:space="0"/>
            </w:tcBorders>
            <w:tcMar>
              <w:left w:w="84" w:type="dxa"/>
              <w:right w:w="84" w:type="dxa"/>
            </w:tcMar>
            <w:vAlign w:val="center"/>
          </w:tcPr>
          <w:p>
            <w:pPr>
              <w:keepNext w:val="0"/>
              <w:keepLines w:val="0"/>
              <w:pageBreakBefore w:val="0"/>
              <w:kinsoku/>
              <w:wordWrap/>
              <w:overflowPunct/>
              <w:topLinePunct w:val="0"/>
              <w:autoSpaceDE/>
              <w:autoSpaceDN/>
              <w:bidi w:val="0"/>
              <w:adjustRightInd w:val="0"/>
              <w:snapToGrid w:val="0"/>
              <w:jc w:val="center"/>
              <w:outlineLvl w:val="9"/>
              <w:rPr>
                <w:rStyle w:val="8"/>
                <w:rFonts w:hint="eastAsia" w:ascii="宋体" w:hAnsi="宋体" w:eastAsia="宋体" w:cs="宋体"/>
                <w:b w:val="0"/>
                <w:bCs/>
                <w:color w:val="404040"/>
                <w:sz w:val="24"/>
                <w:szCs w:val="24"/>
                <w:lang w:eastAsia="zh-CN"/>
              </w:rPr>
            </w:pPr>
            <w:r>
              <w:rPr>
                <w:rStyle w:val="8"/>
                <w:rFonts w:hint="eastAsia" w:ascii="宋体" w:hAnsi="宋体" w:eastAsia="宋体" w:cs="宋体"/>
                <w:b w:val="0"/>
                <w:bCs/>
                <w:color w:val="404040"/>
                <w:sz w:val="24"/>
                <w:szCs w:val="24"/>
                <w:lang w:eastAsia="zh-CN"/>
              </w:rPr>
              <w:t>同比增长(%)</w:t>
            </w:r>
          </w:p>
        </w:tc>
        <w:tc>
          <w:tcPr>
            <w:tcW w:w="1974" w:type="dxa"/>
            <w:tcBorders>
              <w:top w:val="single" w:color="auto" w:sz="2" w:space="0"/>
              <w:left w:val="single" w:color="auto" w:sz="2" w:space="0"/>
              <w:bottom w:val="single" w:color="auto" w:sz="2" w:space="0"/>
              <w:right w:val="single" w:color="auto" w:sz="2" w:space="0"/>
            </w:tcBorders>
            <w:tcMar>
              <w:left w:w="84" w:type="dxa"/>
              <w:right w:w="84" w:type="dxa"/>
            </w:tcMar>
            <w:vAlign w:val="center"/>
          </w:tcPr>
          <w:p>
            <w:pPr>
              <w:keepNext w:val="0"/>
              <w:keepLines w:val="0"/>
              <w:pageBreakBefore w:val="0"/>
              <w:kinsoku/>
              <w:wordWrap/>
              <w:overflowPunct/>
              <w:topLinePunct w:val="0"/>
              <w:autoSpaceDE/>
              <w:autoSpaceDN/>
              <w:bidi w:val="0"/>
              <w:adjustRightInd w:val="0"/>
              <w:snapToGrid w:val="0"/>
              <w:jc w:val="center"/>
              <w:outlineLvl w:val="9"/>
              <w:rPr>
                <w:rStyle w:val="8"/>
                <w:rFonts w:hint="eastAsia" w:ascii="宋体" w:hAnsi="宋体" w:eastAsia="宋体" w:cs="宋体"/>
                <w:b w:val="0"/>
                <w:bCs/>
                <w:color w:val="404040"/>
                <w:sz w:val="24"/>
                <w:szCs w:val="24"/>
                <w:lang w:eastAsia="zh-CN"/>
              </w:rPr>
            </w:pPr>
            <w:r>
              <w:rPr>
                <w:rStyle w:val="8"/>
                <w:rFonts w:hint="eastAsia" w:ascii="宋体" w:hAnsi="宋体" w:cs="宋体"/>
                <w:b w:val="0"/>
                <w:bCs/>
                <w:color w:val="404040"/>
                <w:sz w:val="24"/>
                <w:szCs w:val="24"/>
                <w:lang w:eastAsia="zh-CN"/>
              </w:rPr>
              <w:t>2024年</w:t>
            </w:r>
            <w:r>
              <w:rPr>
                <w:rStyle w:val="8"/>
                <w:rFonts w:hint="default" w:ascii="宋体" w:hAnsi="宋体" w:cs="宋体"/>
                <w:b w:val="0"/>
                <w:bCs/>
                <w:color w:val="404040"/>
                <w:sz w:val="24"/>
                <w:szCs w:val="24"/>
                <w:lang w:val="en" w:eastAsia="zh-CN"/>
              </w:rPr>
              <w:t>1-3季</w:t>
            </w:r>
            <w:r>
              <w:rPr>
                <w:rStyle w:val="8"/>
                <w:rFonts w:hint="eastAsia" w:ascii="宋体" w:hAnsi="宋体" w:cs="宋体"/>
                <w:b w:val="0"/>
                <w:bCs/>
                <w:color w:val="404040"/>
                <w:sz w:val="24"/>
                <w:szCs w:val="24"/>
                <w:lang w:eastAsia="zh-CN"/>
              </w:rPr>
              <w:t>度</w:t>
            </w:r>
          </w:p>
        </w:tc>
        <w:tc>
          <w:tcPr>
            <w:tcW w:w="2194" w:type="dxa"/>
            <w:tcBorders>
              <w:top w:val="single" w:color="auto" w:sz="2" w:space="0"/>
              <w:left w:val="single" w:color="auto" w:sz="2" w:space="0"/>
              <w:bottom w:val="single" w:color="auto" w:sz="2" w:space="0"/>
              <w:right w:val="nil"/>
            </w:tcBorders>
            <w:tcMar>
              <w:left w:w="84" w:type="dxa"/>
              <w:right w:w="84" w:type="dxa"/>
            </w:tcMar>
            <w:vAlign w:val="center"/>
          </w:tcPr>
          <w:p>
            <w:pPr>
              <w:keepNext w:val="0"/>
              <w:keepLines w:val="0"/>
              <w:pageBreakBefore w:val="0"/>
              <w:kinsoku/>
              <w:wordWrap/>
              <w:overflowPunct/>
              <w:topLinePunct w:val="0"/>
              <w:autoSpaceDE/>
              <w:autoSpaceDN/>
              <w:bidi w:val="0"/>
              <w:adjustRightInd w:val="0"/>
              <w:snapToGrid w:val="0"/>
              <w:jc w:val="center"/>
              <w:outlineLvl w:val="9"/>
              <w:rPr>
                <w:rStyle w:val="8"/>
                <w:rFonts w:hint="eastAsia" w:ascii="宋体" w:hAnsi="宋体" w:eastAsia="宋体" w:cs="宋体"/>
                <w:b w:val="0"/>
                <w:bCs/>
                <w:color w:val="404040"/>
                <w:sz w:val="24"/>
                <w:szCs w:val="24"/>
                <w:lang w:eastAsia="zh-CN"/>
              </w:rPr>
            </w:pPr>
            <w:r>
              <w:rPr>
                <w:rStyle w:val="8"/>
                <w:rFonts w:hint="eastAsia" w:ascii="宋体" w:hAnsi="宋体" w:eastAsia="宋体" w:cs="宋体"/>
                <w:b w:val="0"/>
                <w:bCs/>
                <w:color w:val="404040"/>
                <w:sz w:val="24"/>
                <w:szCs w:val="24"/>
                <w:lang w:eastAsia="zh-CN"/>
              </w:rPr>
              <w:t>同比增长(%)</w:t>
            </w:r>
          </w:p>
        </w:tc>
      </w:tr>
      <w:tr>
        <w:tblPrEx>
          <w:tblCellMar>
            <w:top w:w="0" w:type="dxa"/>
            <w:left w:w="0" w:type="dxa"/>
            <w:bottom w:w="0" w:type="dxa"/>
            <w:right w:w="0" w:type="dxa"/>
          </w:tblCellMar>
        </w:tblPrEx>
        <w:trPr>
          <w:trHeight w:val="413" w:hRule="exact"/>
        </w:trPr>
        <w:tc>
          <w:tcPr>
            <w:tcW w:w="5045" w:type="dxa"/>
            <w:tcBorders>
              <w:top w:val="single" w:color="auto" w:sz="2" w:space="0"/>
              <w:left w:val="nil"/>
              <w:bottom w:val="nil"/>
              <w:right w:val="single" w:color="auto" w:sz="2" w:space="0"/>
            </w:tcBorders>
            <w:tcMar>
              <w:left w:w="84" w:type="dxa"/>
              <w:right w:w="84" w:type="dxa"/>
            </w:tcMar>
            <w:vAlign w:val="center"/>
          </w:tcPr>
          <w:p>
            <w:pPr>
              <w:keepNext w:val="0"/>
              <w:keepLines w:val="0"/>
              <w:pageBreakBefore w:val="0"/>
              <w:kinsoku/>
              <w:wordWrap/>
              <w:overflowPunct/>
              <w:topLinePunct w:val="0"/>
              <w:autoSpaceDE/>
              <w:autoSpaceDN/>
              <w:bidi w:val="0"/>
              <w:adjustRightInd w:val="0"/>
              <w:snapToGrid w:val="0"/>
              <w:ind w:firstLine="240" w:firstLineChars="100"/>
              <w:jc w:val="left"/>
              <w:outlineLvl w:val="9"/>
              <w:rPr>
                <w:rFonts w:hint="eastAsia" w:ascii="宋体" w:hAnsi="宋体" w:eastAsia="宋体" w:cs="宋体"/>
                <w:b/>
                <w:bCs/>
                <w:sz w:val="24"/>
                <w:szCs w:val="24"/>
                <w:lang w:eastAsia="zh-CN"/>
              </w:rPr>
            </w:pPr>
            <w:r>
              <w:rPr>
                <w:rFonts w:hint="eastAsia" w:ascii="宋体" w:hAnsi="宋体" w:eastAsia="宋体" w:cs="宋体"/>
                <w:b/>
                <w:bCs/>
                <w:sz w:val="24"/>
                <w:szCs w:val="24"/>
              </w:rPr>
              <w:t>人均消费支出</w:t>
            </w:r>
            <w:r>
              <w:rPr>
                <w:rFonts w:hint="eastAsia" w:ascii="宋体" w:hAnsi="宋体" w:cs="宋体"/>
                <w:b/>
                <w:bCs/>
                <w:sz w:val="24"/>
                <w:szCs w:val="24"/>
                <w:lang w:eastAsia="zh-CN"/>
              </w:rPr>
              <w:t>（元）</w:t>
            </w:r>
          </w:p>
        </w:tc>
        <w:tc>
          <w:tcPr>
            <w:tcW w:w="2194" w:type="dxa"/>
            <w:tcBorders>
              <w:top w:val="single" w:color="auto" w:sz="2" w:space="0"/>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b/>
                <w:bCs/>
                <w:sz w:val="24"/>
                <w:szCs w:val="24"/>
                <w:lang w:val="en-US" w:eastAsia="zh-CN"/>
              </w:rPr>
            </w:pPr>
            <w:r>
              <w:rPr>
                <w:rFonts w:hint="eastAsia" w:ascii="宋体" w:hAnsi="宋体" w:eastAsia="宋体" w:cs="宋体"/>
                <w:b/>
                <w:i w:val="0"/>
                <w:color w:val="000000"/>
                <w:kern w:val="0"/>
                <w:sz w:val="24"/>
                <w:szCs w:val="24"/>
                <w:u w:val="none"/>
                <w:lang w:val="en-US" w:eastAsia="zh-CN" w:bidi="ar"/>
              </w:rPr>
              <w:t xml:space="preserve">22339 </w:t>
            </w:r>
          </w:p>
        </w:tc>
        <w:tc>
          <w:tcPr>
            <w:tcW w:w="2193" w:type="dxa"/>
            <w:tcBorders>
              <w:top w:val="single" w:color="auto" w:sz="2" w:space="0"/>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b/>
                <w:bCs/>
                <w:sz w:val="24"/>
                <w:szCs w:val="24"/>
                <w:lang w:val="en-US" w:eastAsia="zh-CN"/>
              </w:rPr>
            </w:pPr>
            <w:r>
              <w:rPr>
                <w:rFonts w:hint="eastAsia" w:ascii="宋体" w:hAnsi="宋体" w:eastAsia="宋体" w:cs="宋体"/>
                <w:b/>
                <w:i w:val="0"/>
                <w:color w:val="000000"/>
                <w:kern w:val="0"/>
                <w:sz w:val="24"/>
                <w:szCs w:val="24"/>
                <w:u w:val="none"/>
                <w:lang w:val="en-US" w:eastAsia="zh-CN" w:bidi="ar"/>
              </w:rPr>
              <w:t xml:space="preserve">2.0 </w:t>
            </w:r>
          </w:p>
        </w:tc>
        <w:tc>
          <w:tcPr>
            <w:tcW w:w="1974" w:type="dxa"/>
            <w:tcBorders>
              <w:top w:val="single" w:color="auto" w:sz="2" w:space="0"/>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b/>
                <w:bCs/>
                <w:sz w:val="24"/>
                <w:szCs w:val="24"/>
                <w:lang w:val="en-US" w:eastAsia="zh-CN"/>
              </w:rPr>
            </w:pPr>
            <w:r>
              <w:rPr>
                <w:rFonts w:hint="eastAsia" w:ascii="宋体" w:hAnsi="宋体" w:eastAsia="宋体" w:cs="宋体"/>
                <w:b/>
                <w:i w:val="0"/>
                <w:color w:val="000000"/>
                <w:kern w:val="0"/>
                <w:sz w:val="24"/>
                <w:szCs w:val="24"/>
                <w:u w:val="none"/>
                <w:lang w:val="en-US" w:eastAsia="zh-CN" w:bidi="ar"/>
              </w:rPr>
              <w:t xml:space="preserve">26605 </w:t>
            </w:r>
          </w:p>
        </w:tc>
        <w:tc>
          <w:tcPr>
            <w:tcW w:w="2194" w:type="dxa"/>
            <w:tcBorders>
              <w:top w:val="single" w:color="auto" w:sz="2" w:space="0"/>
              <w:left w:val="single" w:color="auto" w:sz="2" w:space="0"/>
              <w:bottom w:val="nil"/>
              <w:right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b/>
                <w:bCs/>
                <w:sz w:val="24"/>
                <w:szCs w:val="24"/>
                <w:lang w:val="en-US" w:eastAsia="zh-CN"/>
              </w:rPr>
            </w:pPr>
            <w:r>
              <w:rPr>
                <w:rFonts w:hint="eastAsia" w:ascii="宋体" w:hAnsi="宋体" w:eastAsia="宋体" w:cs="宋体"/>
                <w:b/>
                <w:i w:val="0"/>
                <w:color w:val="000000"/>
                <w:kern w:val="0"/>
                <w:sz w:val="24"/>
                <w:szCs w:val="24"/>
                <w:u w:val="none"/>
                <w:lang w:val="en-US" w:eastAsia="zh-CN" w:bidi="ar"/>
              </w:rPr>
              <w:t xml:space="preserve">3.0 </w:t>
            </w:r>
          </w:p>
        </w:tc>
      </w:tr>
      <w:tr>
        <w:tblPrEx>
          <w:tblCellMar>
            <w:top w:w="0" w:type="dxa"/>
            <w:left w:w="0" w:type="dxa"/>
            <w:bottom w:w="0" w:type="dxa"/>
            <w:right w:w="0" w:type="dxa"/>
          </w:tblCellMar>
        </w:tblPrEx>
        <w:trPr>
          <w:trHeight w:val="413" w:hRule="exact"/>
        </w:trPr>
        <w:tc>
          <w:tcPr>
            <w:tcW w:w="5045" w:type="dxa"/>
            <w:tcBorders>
              <w:top w:val="nil"/>
              <w:left w:val="nil"/>
              <w:bottom w:val="nil"/>
              <w:right w:val="single" w:color="auto" w:sz="2" w:space="0"/>
            </w:tcBorders>
            <w:tcMar>
              <w:left w:w="84" w:type="dxa"/>
              <w:right w:w="84" w:type="dxa"/>
            </w:tcMar>
            <w:vAlign w:val="center"/>
          </w:tcPr>
          <w:p>
            <w:pPr>
              <w:keepNext w:val="0"/>
              <w:keepLines w:val="0"/>
              <w:pageBreakBefore w:val="0"/>
              <w:kinsoku/>
              <w:wordWrap/>
              <w:overflowPunct/>
              <w:topLinePunct w:val="0"/>
              <w:autoSpaceDE/>
              <w:autoSpaceDN/>
              <w:bidi w:val="0"/>
              <w:adjustRightInd w:val="0"/>
              <w:snapToGrid w:val="0"/>
              <w:ind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rPr>
              <w:t>食品烟酒</w:t>
            </w:r>
          </w:p>
        </w:tc>
        <w:tc>
          <w:tcPr>
            <w:tcW w:w="2194" w:type="dxa"/>
            <w:tcBorders>
              <w:top w:val="nil"/>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5625 </w:t>
            </w:r>
          </w:p>
        </w:tc>
        <w:tc>
          <w:tcPr>
            <w:tcW w:w="2193" w:type="dxa"/>
            <w:tcBorders>
              <w:top w:val="nil"/>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2.1 </w:t>
            </w:r>
          </w:p>
        </w:tc>
        <w:tc>
          <w:tcPr>
            <w:tcW w:w="1974" w:type="dxa"/>
            <w:tcBorders>
              <w:top w:val="nil"/>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6311 </w:t>
            </w:r>
          </w:p>
        </w:tc>
        <w:tc>
          <w:tcPr>
            <w:tcW w:w="2194" w:type="dxa"/>
            <w:tcBorders>
              <w:top w:val="nil"/>
              <w:left w:val="single" w:color="auto" w:sz="2" w:space="0"/>
              <w:bottom w:val="nil"/>
              <w:right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0.4 </w:t>
            </w:r>
          </w:p>
        </w:tc>
      </w:tr>
      <w:tr>
        <w:tblPrEx>
          <w:tblCellMar>
            <w:top w:w="0" w:type="dxa"/>
            <w:left w:w="0" w:type="dxa"/>
            <w:bottom w:w="0" w:type="dxa"/>
            <w:right w:w="0" w:type="dxa"/>
          </w:tblCellMar>
        </w:tblPrEx>
        <w:trPr>
          <w:trHeight w:val="413" w:hRule="exact"/>
        </w:trPr>
        <w:tc>
          <w:tcPr>
            <w:tcW w:w="5045" w:type="dxa"/>
            <w:tcBorders>
              <w:top w:val="nil"/>
              <w:left w:val="nil"/>
              <w:bottom w:val="nil"/>
              <w:right w:val="single" w:color="auto" w:sz="2" w:space="0"/>
            </w:tcBorders>
            <w:tcMar>
              <w:left w:w="84" w:type="dxa"/>
              <w:right w:w="84" w:type="dxa"/>
            </w:tcMar>
            <w:vAlign w:val="center"/>
          </w:tcPr>
          <w:p>
            <w:pPr>
              <w:keepNext w:val="0"/>
              <w:keepLines w:val="0"/>
              <w:pageBreakBefore w:val="0"/>
              <w:kinsoku/>
              <w:wordWrap/>
              <w:overflowPunct/>
              <w:topLinePunct w:val="0"/>
              <w:autoSpaceDE/>
              <w:autoSpaceDN/>
              <w:bidi w:val="0"/>
              <w:adjustRightInd w:val="0"/>
              <w:snapToGrid w:val="0"/>
              <w:ind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rPr>
              <w:t>衣着</w:t>
            </w:r>
          </w:p>
        </w:tc>
        <w:tc>
          <w:tcPr>
            <w:tcW w:w="2194" w:type="dxa"/>
            <w:tcBorders>
              <w:top w:val="nil"/>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1061 </w:t>
            </w:r>
          </w:p>
        </w:tc>
        <w:tc>
          <w:tcPr>
            <w:tcW w:w="2193" w:type="dxa"/>
            <w:tcBorders>
              <w:top w:val="nil"/>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-8.8 </w:t>
            </w:r>
          </w:p>
        </w:tc>
        <w:tc>
          <w:tcPr>
            <w:tcW w:w="1974" w:type="dxa"/>
            <w:tcBorders>
              <w:top w:val="nil"/>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1340 </w:t>
            </w:r>
          </w:p>
        </w:tc>
        <w:tc>
          <w:tcPr>
            <w:tcW w:w="2194" w:type="dxa"/>
            <w:tcBorders>
              <w:top w:val="nil"/>
              <w:left w:val="single" w:color="auto" w:sz="2" w:space="0"/>
              <w:bottom w:val="nil"/>
              <w:right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-10.1 </w:t>
            </w:r>
          </w:p>
        </w:tc>
      </w:tr>
      <w:tr>
        <w:tblPrEx>
          <w:tblCellMar>
            <w:top w:w="0" w:type="dxa"/>
            <w:left w:w="0" w:type="dxa"/>
            <w:bottom w:w="0" w:type="dxa"/>
            <w:right w:w="0" w:type="dxa"/>
          </w:tblCellMar>
        </w:tblPrEx>
        <w:trPr>
          <w:trHeight w:val="413" w:hRule="exact"/>
        </w:trPr>
        <w:tc>
          <w:tcPr>
            <w:tcW w:w="5045" w:type="dxa"/>
            <w:tcBorders>
              <w:top w:val="nil"/>
              <w:left w:val="nil"/>
              <w:bottom w:val="nil"/>
              <w:right w:val="single" w:color="auto" w:sz="2" w:space="0"/>
            </w:tcBorders>
            <w:tcMar>
              <w:left w:w="84" w:type="dxa"/>
              <w:right w:w="84" w:type="dxa"/>
            </w:tcMar>
            <w:vAlign w:val="center"/>
          </w:tcPr>
          <w:p>
            <w:pPr>
              <w:keepNext w:val="0"/>
              <w:keepLines w:val="0"/>
              <w:pageBreakBefore w:val="0"/>
              <w:kinsoku/>
              <w:wordWrap/>
              <w:overflowPunct/>
              <w:topLinePunct w:val="0"/>
              <w:autoSpaceDE/>
              <w:autoSpaceDN/>
              <w:bidi w:val="0"/>
              <w:adjustRightInd w:val="0"/>
              <w:snapToGrid w:val="0"/>
              <w:ind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rPr>
              <w:t>居住</w:t>
            </w:r>
          </w:p>
        </w:tc>
        <w:tc>
          <w:tcPr>
            <w:tcW w:w="2194" w:type="dxa"/>
            <w:tcBorders>
              <w:top w:val="nil"/>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6174 </w:t>
            </w:r>
          </w:p>
        </w:tc>
        <w:tc>
          <w:tcPr>
            <w:tcW w:w="2193" w:type="dxa"/>
            <w:tcBorders>
              <w:top w:val="nil"/>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-3.8 </w:t>
            </w:r>
          </w:p>
        </w:tc>
        <w:tc>
          <w:tcPr>
            <w:tcW w:w="1974" w:type="dxa"/>
            <w:tcBorders>
              <w:top w:val="nil"/>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7511 </w:t>
            </w:r>
          </w:p>
        </w:tc>
        <w:tc>
          <w:tcPr>
            <w:tcW w:w="2194" w:type="dxa"/>
            <w:tcBorders>
              <w:top w:val="nil"/>
              <w:left w:val="single" w:color="auto" w:sz="2" w:space="0"/>
              <w:bottom w:val="nil"/>
              <w:right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3.9 </w:t>
            </w:r>
          </w:p>
        </w:tc>
      </w:tr>
      <w:tr>
        <w:tblPrEx>
          <w:tblCellMar>
            <w:top w:w="0" w:type="dxa"/>
            <w:left w:w="0" w:type="dxa"/>
            <w:bottom w:w="0" w:type="dxa"/>
            <w:right w:w="0" w:type="dxa"/>
          </w:tblCellMar>
        </w:tblPrEx>
        <w:trPr>
          <w:trHeight w:val="413" w:hRule="exact"/>
        </w:trPr>
        <w:tc>
          <w:tcPr>
            <w:tcW w:w="5045" w:type="dxa"/>
            <w:tcBorders>
              <w:top w:val="nil"/>
              <w:left w:val="nil"/>
              <w:bottom w:val="nil"/>
              <w:right w:val="single" w:color="auto" w:sz="2" w:space="0"/>
            </w:tcBorders>
            <w:tcMar>
              <w:left w:w="84" w:type="dxa"/>
              <w:right w:w="84" w:type="dxa"/>
            </w:tcMar>
            <w:vAlign w:val="center"/>
          </w:tcPr>
          <w:p>
            <w:pPr>
              <w:keepNext w:val="0"/>
              <w:keepLines w:val="0"/>
              <w:pageBreakBefore w:val="0"/>
              <w:kinsoku/>
              <w:wordWrap/>
              <w:overflowPunct/>
              <w:topLinePunct w:val="0"/>
              <w:autoSpaceDE/>
              <w:autoSpaceDN/>
              <w:bidi w:val="0"/>
              <w:adjustRightInd w:val="0"/>
              <w:snapToGrid w:val="0"/>
              <w:ind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rPr>
              <w:t>生活用品及服务</w:t>
            </w:r>
          </w:p>
        </w:tc>
        <w:tc>
          <w:tcPr>
            <w:tcW w:w="2194" w:type="dxa"/>
            <w:tcBorders>
              <w:top w:val="nil"/>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1196 </w:t>
            </w:r>
          </w:p>
        </w:tc>
        <w:tc>
          <w:tcPr>
            <w:tcW w:w="2193" w:type="dxa"/>
            <w:tcBorders>
              <w:top w:val="nil"/>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0.3 </w:t>
            </w:r>
          </w:p>
        </w:tc>
        <w:tc>
          <w:tcPr>
            <w:tcW w:w="1974" w:type="dxa"/>
            <w:tcBorders>
              <w:top w:val="nil"/>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1458 </w:t>
            </w:r>
          </w:p>
        </w:tc>
        <w:tc>
          <w:tcPr>
            <w:tcW w:w="2194" w:type="dxa"/>
            <w:tcBorders>
              <w:top w:val="nil"/>
              <w:left w:val="single" w:color="auto" w:sz="2" w:space="0"/>
              <w:bottom w:val="nil"/>
              <w:right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2.3 </w:t>
            </w:r>
          </w:p>
        </w:tc>
      </w:tr>
      <w:tr>
        <w:tblPrEx>
          <w:tblCellMar>
            <w:top w:w="0" w:type="dxa"/>
            <w:left w:w="0" w:type="dxa"/>
            <w:bottom w:w="0" w:type="dxa"/>
            <w:right w:w="0" w:type="dxa"/>
          </w:tblCellMar>
        </w:tblPrEx>
        <w:trPr>
          <w:trHeight w:val="413" w:hRule="exact"/>
        </w:trPr>
        <w:tc>
          <w:tcPr>
            <w:tcW w:w="5045" w:type="dxa"/>
            <w:tcBorders>
              <w:top w:val="nil"/>
              <w:left w:val="nil"/>
              <w:bottom w:val="nil"/>
              <w:right w:val="single" w:color="auto" w:sz="2" w:space="0"/>
            </w:tcBorders>
            <w:tcMar>
              <w:left w:w="84" w:type="dxa"/>
              <w:right w:w="84" w:type="dxa"/>
            </w:tcMar>
            <w:vAlign w:val="center"/>
          </w:tcPr>
          <w:p>
            <w:pPr>
              <w:keepNext w:val="0"/>
              <w:keepLines w:val="0"/>
              <w:pageBreakBefore w:val="0"/>
              <w:kinsoku/>
              <w:wordWrap/>
              <w:overflowPunct/>
              <w:topLinePunct w:val="0"/>
              <w:autoSpaceDE/>
              <w:autoSpaceDN/>
              <w:bidi w:val="0"/>
              <w:adjustRightInd w:val="0"/>
              <w:snapToGrid w:val="0"/>
              <w:ind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rPr>
              <w:t>交通和通信</w:t>
            </w:r>
          </w:p>
        </w:tc>
        <w:tc>
          <w:tcPr>
            <w:tcW w:w="2194" w:type="dxa"/>
            <w:tcBorders>
              <w:top w:val="nil"/>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3155 </w:t>
            </w:r>
          </w:p>
        </w:tc>
        <w:tc>
          <w:tcPr>
            <w:tcW w:w="2193" w:type="dxa"/>
            <w:tcBorders>
              <w:top w:val="nil"/>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-3.0 </w:t>
            </w:r>
          </w:p>
        </w:tc>
        <w:tc>
          <w:tcPr>
            <w:tcW w:w="1974" w:type="dxa"/>
            <w:tcBorders>
              <w:top w:val="nil"/>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3773 </w:t>
            </w:r>
          </w:p>
        </w:tc>
        <w:tc>
          <w:tcPr>
            <w:tcW w:w="2194" w:type="dxa"/>
            <w:tcBorders>
              <w:top w:val="nil"/>
              <w:left w:val="single" w:color="auto" w:sz="2" w:space="0"/>
              <w:bottom w:val="nil"/>
              <w:right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-5.7 </w:t>
            </w:r>
          </w:p>
        </w:tc>
      </w:tr>
      <w:tr>
        <w:tblPrEx>
          <w:tblCellMar>
            <w:top w:w="0" w:type="dxa"/>
            <w:left w:w="0" w:type="dxa"/>
            <w:bottom w:w="0" w:type="dxa"/>
            <w:right w:w="0" w:type="dxa"/>
          </w:tblCellMar>
        </w:tblPrEx>
        <w:trPr>
          <w:trHeight w:val="413" w:hRule="exact"/>
        </w:trPr>
        <w:tc>
          <w:tcPr>
            <w:tcW w:w="5045" w:type="dxa"/>
            <w:tcBorders>
              <w:top w:val="nil"/>
              <w:left w:val="nil"/>
              <w:bottom w:val="nil"/>
              <w:right w:val="single" w:color="auto" w:sz="2" w:space="0"/>
            </w:tcBorders>
            <w:tcMar>
              <w:left w:w="84" w:type="dxa"/>
              <w:right w:w="84" w:type="dxa"/>
            </w:tcMar>
            <w:vAlign w:val="center"/>
          </w:tcPr>
          <w:p>
            <w:pPr>
              <w:keepNext w:val="0"/>
              <w:keepLines w:val="0"/>
              <w:pageBreakBefore w:val="0"/>
              <w:kinsoku/>
              <w:wordWrap/>
              <w:overflowPunct/>
              <w:topLinePunct w:val="0"/>
              <w:autoSpaceDE/>
              <w:autoSpaceDN/>
              <w:bidi w:val="0"/>
              <w:adjustRightInd w:val="0"/>
              <w:snapToGrid w:val="0"/>
              <w:ind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rPr>
              <w:t>教育文化娱乐</w:t>
            </w:r>
          </w:p>
        </w:tc>
        <w:tc>
          <w:tcPr>
            <w:tcW w:w="2194" w:type="dxa"/>
            <w:tcBorders>
              <w:top w:val="nil"/>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1823 </w:t>
            </w:r>
          </w:p>
        </w:tc>
        <w:tc>
          <w:tcPr>
            <w:tcW w:w="2193" w:type="dxa"/>
            <w:tcBorders>
              <w:top w:val="nil"/>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17.5 </w:t>
            </w:r>
          </w:p>
        </w:tc>
        <w:tc>
          <w:tcPr>
            <w:tcW w:w="1974" w:type="dxa"/>
            <w:tcBorders>
              <w:top w:val="nil"/>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2547 </w:t>
            </w:r>
          </w:p>
        </w:tc>
        <w:tc>
          <w:tcPr>
            <w:tcW w:w="2194" w:type="dxa"/>
            <w:tcBorders>
              <w:top w:val="nil"/>
              <w:left w:val="single" w:color="auto" w:sz="2" w:space="0"/>
              <w:bottom w:val="nil"/>
              <w:right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19.4 </w:t>
            </w:r>
          </w:p>
        </w:tc>
      </w:tr>
      <w:tr>
        <w:tblPrEx>
          <w:tblCellMar>
            <w:top w:w="0" w:type="dxa"/>
            <w:left w:w="0" w:type="dxa"/>
            <w:bottom w:w="0" w:type="dxa"/>
            <w:right w:w="0" w:type="dxa"/>
          </w:tblCellMar>
        </w:tblPrEx>
        <w:trPr>
          <w:trHeight w:val="413" w:hRule="exact"/>
        </w:trPr>
        <w:tc>
          <w:tcPr>
            <w:tcW w:w="5045" w:type="dxa"/>
            <w:tcBorders>
              <w:top w:val="nil"/>
              <w:left w:val="nil"/>
              <w:bottom w:val="nil"/>
              <w:right w:val="single" w:color="auto" w:sz="2" w:space="0"/>
            </w:tcBorders>
            <w:tcMar>
              <w:left w:w="84" w:type="dxa"/>
              <w:right w:w="84" w:type="dxa"/>
            </w:tcMar>
            <w:vAlign w:val="center"/>
          </w:tcPr>
          <w:p>
            <w:pPr>
              <w:keepNext w:val="0"/>
              <w:keepLines w:val="0"/>
              <w:pageBreakBefore w:val="0"/>
              <w:kinsoku/>
              <w:wordWrap/>
              <w:overflowPunct/>
              <w:topLinePunct w:val="0"/>
              <w:autoSpaceDE/>
              <w:autoSpaceDN/>
              <w:bidi w:val="0"/>
              <w:adjustRightInd w:val="0"/>
              <w:snapToGrid w:val="0"/>
              <w:ind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rPr>
              <w:t>医疗保健</w:t>
            </w:r>
          </w:p>
        </w:tc>
        <w:tc>
          <w:tcPr>
            <w:tcW w:w="2194" w:type="dxa"/>
            <w:tcBorders>
              <w:top w:val="nil"/>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2669 </w:t>
            </w:r>
          </w:p>
        </w:tc>
        <w:tc>
          <w:tcPr>
            <w:tcW w:w="2193" w:type="dxa"/>
            <w:tcBorders>
              <w:top w:val="nil"/>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24.4 </w:t>
            </w:r>
          </w:p>
        </w:tc>
        <w:tc>
          <w:tcPr>
            <w:tcW w:w="1974" w:type="dxa"/>
            <w:tcBorders>
              <w:top w:val="nil"/>
              <w:left w:val="single" w:color="auto" w:sz="2" w:space="0"/>
              <w:bottom w:val="nil"/>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2814 </w:t>
            </w:r>
          </w:p>
        </w:tc>
        <w:tc>
          <w:tcPr>
            <w:tcW w:w="2194" w:type="dxa"/>
            <w:tcBorders>
              <w:top w:val="nil"/>
              <w:left w:val="single" w:color="auto" w:sz="2" w:space="0"/>
              <w:bottom w:val="nil"/>
              <w:right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21.3 </w:t>
            </w:r>
          </w:p>
        </w:tc>
      </w:tr>
      <w:tr>
        <w:tblPrEx>
          <w:tblCellMar>
            <w:top w:w="0" w:type="dxa"/>
            <w:left w:w="0" w:type="dxa"/>
            <w:bottom w:w="0" w:type="dxa"/>
            <w:right w:w="0" w:type="dxa"/>
          </w:tblCellMar>
        </w:tblPrEx>
        <w:trPr>
          <w:trHeight w:val="413" w:hRule="exact"/>
        </w:trPr>
        <w:tc>
          <w:tcPr>
            <w:tcW w:w="5045" w:type="dxa"/>
            <w:tcBorders>
              <w:top w:val="nil"/>
              <w:left w:val="nil"/>
              <w:bottom w:val="single" w:color="auto" w:sz="12" w:space="0"/>
              <w:right w:val="single" w:color="auto" w:sz="2" w:space="0"/>
            </w:tcBorders>
            <w:tcMar>
              <w:left w:w="84" w:type="dxa"/>
              <w:right w:w="84" w:type="dxa"/>
            </w:tcMar>
            <w:vAlign w:val="center"/>
          </w:tcPr>
          <w:p>
            <w:pPr>
              <w:keepNext w:val="0"/>
              <w:keepLines w:val="0"/>
              <w:pageBreakBefore w:val="0"/>
              <w:kinsoku/>
              <w:wordWrap/>
              <w:overflowPunct/>
              <w:topLinePunct w:val="0"/>
              <w:autoSpaceDE/>
              <w:autoSpaceDN/>
              <w:bidi w:val="0"/>
              <w:adjustRightInd w:val="0"/>
              <w:snapToGrid w:val="0"/>
              <w:ind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rPr>
              <w:t>其他用品及服务</w:t>
            </w:r>
          </w:p>
        </w:tc>
        <w:tc>
          <w:tcPr>
            <w:tcW w:w="2194" w:type="dxa"/>
            <w:tcBorders>
              <w:top w:val="nil"/>
              <w:left w:val="single" w:color="auto" w:sz="2" w:space="0"/>
              <w:bottom w:val="single" w:color="auto" w:sz="12" w:space="0"/>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636 </w:t>
            </w:r>
          </w:p>
        </w:tc>
        <w:tc>
          <w:tcPr>
            <w:tcW w:w="2193" w:type="dxa"/>
            <w:tcBorders>
              <w:top w:val="nil"/>
              <w:left w:val="single" w:color="auto" w:sz="2" w:space="0"/>
              <w:bottom w:val="single" w:color="auto" w:sz="12" w:space="0"/>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-6.1 </w:t>
            </w:r>
          </w:p>
        </w:tc>
        <w:tc>
          <w:tcPr>
            <w:tcW w:w="1974" w:type="dxa"/>
            <w:tcBorders>
              <w:top w:val="nil"/>
              <w:left w:val="single" w:color="auto" w:sz="2" w:space="0"/>
              <w:bottom w:val="single" w:color="auto" w:sz="12" w:space="0"/>
              <w:right w:val="single" w:color="auto" w:sz="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853 </w:t>
            </w:r>
          </w:p>
        </w:tc>
        <w:tc>
          <w:tcPr>
            <w:tcW w:w="2194" w:type="dxa"/>
            <w:tcBorders>
              <w:top w:val="nil"/>
              <w:left w:val="single" w:color="auto" w:sz="2" w:space="0"/>
              <w:bottom w:val="single" w:color="auto" w:sz="12" w:space="0"/>
              <w:right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-9.5 </w:t>
            </w:r>
          </w:p>
        </w:tc>
      </w:tr>
    </w:tbl>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kern w:val="0"/>
          <w:sz w:val="24"/>
          <w:szCs w:val="24"/>
        </w:rPr>
      </w:pPr>
      <w:r>
        <w:rPr>
          <w:rFonts w:hint="eastAsia" w:ascii="楷体_GB2312" w:hAnsi="宋体" w:eastAsia="楷体_GB2312" w:cs="宋体"/>
          <w:kern w:val="0"/>
          <w:sz w:val="24"/>
          <w:szCs w:val="24"/>
        </w:rPr>
        <w:t>注释：</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textAlignment w:val="auto"/>
        <w:rPr>
          <w:rFonts w:hint="default" w:ascii="楷体_GB2312" w:hAnsi="宋体" w:eastAsia="楷体_GB2312" w:cs="宋体"/>
          <w:b w:val="0"/>
          <w:bCs/>
          <w:kern w:val="0"/>
          <w:sz w:val="24"/>
          <w:szCs w:val="24"/>
          <w:lang w:val="en" w:eastAsia="zh-CN" w:bidi="ar-SA"/>
        </w:rPr>
      </w:pPr>
      <w:r>
        <w:rPr>
          <w:rFonts w:hint="eastAsia" w:hAnsi="宋体" w:eastAsia="楷体_GB2312" w:cs="宋体"/>
          <w:b/>
          <w:kern w:val="0"/>
          <w:sz w:val="24"/>
          <w:szCs w:val="24"/>
          <w:lang w:val="en-US" w:eastAsia="zh-CN" w:bidi="ar-SA"/>
        </w:rPr>
        <w:t>1、</w:t>
      </w:r>
      <w:r>
        <w:rPr>
          <w:rFonts w:hint="default" w:ascii="楷体_GB2312" w:hAnsi="宋体" w:eastAsia="楷体_GB2312" w:cs="宋体"/>
          <w:b/>
          <w:kern w:val="0"/>
          <w:sz w:val="24"/>
          <w:szCs w:val="24"/>
          <w:lang w:val="en" w:eastAsia="zh-CN" w:bidi="ar-SA"/>
        </w:rPr>
        <w:t>统计范围：</w:t>
      </w:r>
      <w:r>
        <w:rPr>
          <w:rFonts w:hint="default" w:ascii="楷体_GB2312" w:hAnsi="宋体" w:eastAsia="楷体_GB2312" w:cs="宋体"/>
          <w:b w:val="0"/>
          <w:bCs/>
          <w:kern w:val="0"/>
          <w:sz w:val="24"/>
          <w:szCs w:val="24"/>
          <w:lang w:val="en" w:eastAsia="zh-CN" w:bidi="ar-SA"/>
        </w:rPr>
        <w:t>住户调查对象为中华人民共和国境内的住户，既包括城镇住户，也包括农村住户；既包括以家庭形式居住的户，也包括以集体形式居住的户。调查对象按照常住地确定，既包括户口在本地的住户，也包括户口在外地、但在本地居住一定时</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textAlignment w:val="auto"/>
        <w:rPr>
          <w:rFonts w:hint="default" w:ascii="楷体_GB2312" w:hAnsi="宋体" w:eastAsia="楷体_GB2312" w:cs="宋体"/>
          <w:b w:val="0"/>
          <w:bCs/>
          <w:kern w:val="0"/>
          <w:sz w:val="24"/>
          <w:szCs w:val="24"/>
          <w:lang w:val="en" w:eastAsia="zh-CN" w:bidi="ar-SA"/>
        </w:rPr>
      </w:pPr>
      <w:r>
        <w:rPr>
          <w:rFonts w:hint="default" w:ascii="楷体_GB2312" w:hAnsi="宋体" w:eastAsia="楷体_GB2312" w:cs="宋体"/>
          <w:b w:val="0"/>
          <w:bCs/>
          <w:kern w:val="0"/>
          <w:sz w:val="24"/>
          <w:szCs w:val="24"/>
          <w:lang w:val="en" w:eastAsia="zh-CN" w:bidi="ar-SA"/>
        </w:rPr>
        <w:t>间（通常为半年）以上的住户。城镇范围为《统计上划分城乡的规定》中被界定为“城镇”的区域，农村范围为《统计上划分城乡的规定》中被界定为“乡村”的区域。</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left"/>
        <w:textAlignment w:val="auto"/>
        <w:outlineLvl w:val="9"/>
        <w:rPr>
          <w:rFonts w:hint="eastAsia" w:ascii="楷体_GB2312" w:hAnsi="宋体" w:eastAsia="楷体_GB2312" w:cs="宋体"/>
          <w:b w:val="0"/>
          <w:bCs/>
          <w:kern w:val="0"/>
          <w:sz w:val="24"/>
          <w:szCs w:val="24"/>
        </w:rPr>
      </w:pPr>
      <w:r>
        <w:rPr>
          <w:rFonts w:hint="eastAsia" w:ascii="楷体_GB2312" w:hAnsi="宋体" w:eastAsia="楷体_GB2312" w:cs="宋体"/>
          <w:b/>
          <w:kern w:val="0"/>
          <w:sz w:val="24"/>
          <w:szCs w:val="24"/>
        </w:rPr>
        <w:t>2、采集渠道：</w:t>
      </w:r>
      <w:r>
        <w:rPr>
          <w:rFonts w:hint="eastAsia" w:ascii="楷体_GB2312" w:hAnsi="宋体" w:eastAsia="楷体_GB2312" w:cs="宋体"/>
          <w:b w:val="0"/>
          <w:bCs/>
          <w:kern w:val="0"/>
          <w:sz w:val="24"/>
          <w:szCs w:val="24"/>
        </w:rPr>
        <w:t>住户调查采用日记账和问卷调查相结合的方式采集基础数据。其中，居民现金收入与支出、实物收入与支出等内容主要使用记账方式采集。住户成员及劳动力从业情况、住房和耐用品拥有量情况、家庭经营和生产投资情况、社区基本情况及其他民生状况等资料使用问卷调查方式采集。</w:t>
      </w:r>
    </w:p>
    <w:p>
      <w:pPr>
        <w:keepNext w:val="0"/>
        <w:keepLines w:val="0"/>
        <w:pageBreakBefore w:val="0"/>
        <w:kinsoku/>
        <w:wordWrap/>
        <w:overflowPunct/>
        <w:topLinePunct w:val="0"/>
        <w:autoSpaceDE/>
        <w:autoSpaceDN/>
        <w:bidi w:val="0"/>
        <w:adjustRightInd w:val="0"/>
        <w:snapToGrid w:val="0"/>
        <w:jc w:val="left"/>
        <w:outlineLvl w:val="9"/>
        <w:rPr>
          <w:rFonts w:hint="eastAsia"/>
          <w:b/>
          <w:color w:val="0000FF"/>
          <w:sz w:val="24"/>
          <w:szCs w:val="24"/>
          <w:lang w:eastAsia="zh-CN"/>
        </w:rPr>
      </w:pPr>
      <w:r>
        <w:rPr>
          <w:rFonts w:hint="eastAsia" w:ascii="楷体_GB2312" w:hAnsi="宋体" w:eastAsia="楷体_GB2312" w:cs="宋体"/>
          <w:b/>
          <w:kern w:val="0"/>
          <w:sz w:val="24"/>
          <w:szCs w:val="24"/>
          <w:lang w:val="en-US" w:eastAsia="zh-CN"/>
        </w:rPr>
        <w:t>3、</w:t>
      </w:r>
      <w:r>
        <w:rPr>
          <w:rFonts w:hint="eastAsia" w:ascii="楷体_GB2312" w:hAnsi="宋体" w:eastAsia="楷体_GB2312" w:cs="宋体"/>
          <w:b/>
          <w:kern w:val="0"/>
          <w:sz w:val="24"/>
          <w:szCs w:val="24"/>
        </w:rPr>
        <w:t>主要统计指标解释：</w:t>
      </w:r>
      <w:r>
        <w:rPr>
          <w:rFonts w:hint="eastAsia" w:ascii="楷体_GB2312" w:hAnsi="宋体" w:eastAsia="楷体_GB2312" w:cs="宋体"/>
          <w:b w:val="0"/>
          <w:bCs/>
          <w:kern w:val="0"/>
          <w:sz w:val="24"/>
          <w:szCs w:val="24"/>
        </w:rPr>
        <w:t>消费支出：指住户用于满足家庭日常生活消费需要的全部支出，包括用于消费品的支出和用于服务性消费的支出。根据用途不同，消费支出可划分为食品烟酒、衣着、居住、生活用品及服务、交通通信、教育文化娱乐、医疗保健、其他用品及服务八大类。食品烟酒：指用于各种食品和烟草、酒类的支出。衣着：指与居民穿着有关的支出，包括服装、服装材料、鞋类、其他衣类及配件、衣着相关加工服务的支出。居住：指与居住相关的支出，包括房租、水、电、燃料、物业管理等方面的支出，也包括自有住房折算租金。生活用品及服务：指家庭及个人的各类生活品及家庭服务。包括家具及室内装饰品、家用器具、家用纺织品、家庭日用杂品、个人用品和家庭服务。交通通信：指用于交通和通信工具及相关的各种服务费、维修费和车辆保险等支出。教育文化娱乐：指用于教育和文化娱乐方面的支出。医疗保健：指用于医疗和保健的药品、用品和服务的总费用。包括医疗器具及药品，以及医疗服务。其他用品及服务：指无法直接归入上述各类支出的其他用品和服务支出。</w:t>
      </w:r>
    </w:p>
    <w:p>
      <w:pPr>
        <w:pStyle w:val="2"/>
        <w:keepNext w:val="0"/>
        <w:keepLines w:val="0"/>
        <w:pageBreakBefore w:val="0"/>
        <w:kinsoku/>
        <w:wordWrap/>
        <w:overflowPunct/>
        <w:topLinePunct w:val="0"/>
        <w:autoSpaceDE/>
        <w:autoSpaceDN/>
        <w:bidi w:val="0"/>
        <w:adjustRightInd w:val="0"/>
        <w:snapToGrid w:val="0"/>
        <w:outlineLvl w:val="9"/>
        <w:rPr>
          <w:rFonts w:hint="eastAsia"/>
          <w:lang w:eastAsia="zh-CN"/>
        </w:rPr>
      </w:pPr>
    </w:p>
    <w:p>
      <w:pPr>
        <w:pStyle w:val="2"/>
        <w:rPr>
          <w:rFonts w:hint="eastAsia"/>
          <w:lang w:val="en-US" w:eastAsia="zh-CN"/>
        </w:rPr>
      </w:pPr>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modern"/>
    <w:pitch w:val="default"/>
    <w:sig w:usb0="00000000" w:usb1="00000000" w:usb2="00000000" w:usb3="00000000" w:csb0="00040000" w:csb1="00000000"/>
  </w:font>
  <w:font w:name="??">
    <w:altName w:val="Quicksand Light"/>
    <w:panose1 w:val="00000000000000000000"/>
    <w:charset w:val="00"/>
    <w:family w:val="auto"/>
    <w:pitch w:val="default"/>
    <w:sig w:usb0="00000000" w:usb1="00000000" w:usb2="00000000" w:usb3="00000000" w:csb0="0000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Quicksand Light">
    <w:panose1 w:val="00000400000000000000"/>
    <w:charset w:val="00"/>
    <w:family w:val="auto"/>
    <w:pitch w:val="default"/>
    <w:sig w:usb0="2000000F" w:usb1="00000001" w:usb2="00000000" w:usb3="00000000" w:csb0="20000193" w:csb1="00000000"/>
  </w:font>
  <w:font w:name="方正宋体S-超大字符集">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658446"/>
    <w:multiLevelType w:val="singleLevel"/>
    <w:tmpl w:val="1665844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5EF1"/>
    <w:rsid w:val="01DE4569"/>
    <w:rsid w:val="01EA0DDF"/>
    <w:rsid w:val="021113C5"/>
    <w:rsid w:val="02383BF7"/>
    <w:rsid w:val="04B3291D"/>
    <w:rsid w:val="05144DE3"/>
    <w:rsid w:val="056063CD"/>
    <w:rsid w:val="0638629E"/>
    <w:rsid w:val="065A435E"/>
    <w:rsid w:val="0693162F"/>
    <w:rsid w:val="06BD48AA"/>
    <w:rsid w:val="08FE4A5D"/>
    <w:rsid w:val="09350139"/>
    <w:rsid w:val="0979482C"/>
    <w:rsid w:val="09B712A8"/>
    <w:rsid w:val="0AC36A44"/>
    <w:rsid w:val="0B55531A"/>
    <w:rsid w:val="0B7B2A58"/>
    <w:rsid w:val="0BD8075B"/>
    <w:rsid w:val="0BFA39C5"/>
    <w:rsid w:val="0C683C8D"/>
    <w:rsid w:val="0CA36702"/>
    <w:rsid w:val="0D5F0FB0"/>
    <w:rsid w:val="0E4220D5"/>
    <w:rsid w:val="0E927B34"/>
    <w:rsid w:val="0EDD0097"/>
    <w:rsid w:val="103E310E"/>
    <w:rsid w:val="118634F1"/>
    <w:rsid w:val="12917D5A"/>
    <w:rsid w:val="13BA65BA"/>
    <w:rsid w:val="13C96186"/>
    <w:rsid w:val="13DB96C9"/>
    <w:rsid w:val="141623DE"/>
    <w:rsid w:val="163459DA"/>
    <w:rsid w:val="169355EC"/>
    <w:rsid w:val="172B5C42"/>
    <w:rsid w:val="19715261"/>
    <w:rsid w:val="1A21665C"/>
    <w:rsid w:val="1AD30A1E"/>
    <w:rsid w:val="1AD8402B"/>
    <w:rsid w:val="1ADF51BC"/>
    <w:rsid w:val="1B0B13DC"/>
    <w:rsid w:val="1B122FB6"/>
    <w:rsid w:val="1BCD0481"/>
    <w:rsid w:val="1C0E5505"/>
    <w:rsid w:val="1C276350"/>
    <w:rsid w:val="1C56369B"/>
    <w:rsid w:val="1CD46D9A"/>
    <w:rsid w:val="1D8D5B77"/>
    <w:rsid w:val="1D98136E"/>
    <w:rsid w:val="1DFB1785"/>
    <w:rsid w:val="1EB84662"/>
    <w:rsid w:val="1FFF4CB5"/>
    <w:rsid w:val="21382369"/>
    <w:rsid w:val="21784A05"/>
    <w:rsid w:val="22DB4243"/>
    <w:rsid w:val="23543D99"/>
    <w:rsid w:val="236F1C12"/>
    <w:rsid w:val="248C2EED"/>
    <w:rsid w:val="256C6363"/>
    <w:rsid w:val="25A15611"/>
    <w:rsid w:val="25E84811"/>
    <w:rsid w:val="26A37460"/>
    <w:rsid w:val="27174A9F"/>
    <w:rsid w:val="285E57AA"/>
    <w:rsid w:val="28DD1ED1"/>
    <w:rsid w:val="29303B10"/>
    <w:rsid w:val="29763C32"/>
    <w:rsid w:val="29AD74D8"/>
    <w:rsid w:val="29FB5780"/>
    <w:rsid w:val="2A94053E"/>
    <w:rsid w:val="2BEF4705"/>
    <w:rsid w:val="2C644628"/>
    <w:rsid w:val="2C6C1E73"/>
    <w:rsid w:val="2D076D14"/>
    <w:rsid w:val="2E29008C"/>
    <w:rsid w:val="2E2B4EE6"/>
    <w:rsid w:val="2E6C7B7D"/>
    <w:rsid w:val="2EC71D67"/>
    <w:rsid w:val="2EFD0F86"/>
    <w:rsid w:val="2F457D92"/>
    <w:rsid w:val="2F5B14A5"/>
    <w:rsid w:val="2F8D73F0"/>
    <w:rsid w:val="2FBDC9F1"/>
    <w:rsid w:val="315F1FAD"/>
    <w:rsid w:val="31767B07"/>
    <w:rsid w:val="32326294"/>
    <w:rsid w:val="32812E6E"/>
    <w:rsid w:val="32A7716C"/>
    <w:rsid w:val="33661F81"/>
    <w:rsid w:val="338177D2"/>
    <w:rsid w:val="33EA3D20"/>
    <w:rsid w:val="349C766D"/>
    <w:rsid w:val="34C40933"/>
    <w:rsid w:val="352C3131"/>
    <w:rsid w:val="36381881"/>
    <w:rsid w:val="364D3747"/>
    <w:rsid w:val="368A245A"/>
    <w:rsid w:val="36B82B10"/>
    <w:rsid w:val="36BE5A08"/>
    <w:rsid w:val="38AC4A90"/>
    <w:rsid w:val="392A6086"/>
    <w:rsid w:val="393A7BCB"/>
    <w:rsid w:val="39C8393A"/>
    <w:rsid w:val="3AEE30EC"/>
    <w:rsid w:val="3B4C203F"/>
    <w:rsid w:val="3B505972"/>
    <w:rsid w:val="3C094926"/>
    <w:rsid w:val="3CA06950"/>
    <w:rsid w:val="3CD34D5E"/>
    <w:rsid w:val="3DF66AB0"/>
    <w:rsid w:val="3E5544D7"/>
    <w:rsid w:val="3ED06649"/>
    <w:rsid w:val="3FA684FA"/>
    <w:rsid w:val="3FAB96BE"/>
    <w:rsid w:val="3FDB5DF1"/>
    <w:rsid w:val="3FDED793"/>
    <w:rsid w:val="3FDF4110"/>
    <w:rsid w:val="3FFE10C8"/>
    <w:rsid w:val="401D61C0"/>
    <w:rsid w:val="414B607C"/>
    <w:rsid w:val="41A3549E"/>
    <w:rsid w:val="426042E3"/>
    <w:rsid w:val="42D90AF2"/>
    <w:rsid w:val="440C601A"/>
    <w:rsid w:val="441A04D4"/>
    <w:rsid w:val="46216826"/>
    <w:rsid w:val="475234D8"/>
    <w:rsid w:val="476A13E8"/>
    <w:rsid w:val="47790412"/>
    <w:rsid w:val="47A86E6D"/>
    <w:rsid w:val="47E027CA"/>
    <w:rsid w:val="47FEAB4D"/>
    <w:rsid w:val="489B5BDB"/>
    <w:rsid w:val="4937785D"/>
    <w:rsid w:val="4AE90A8D"/>
    <w:rsid w:val="4B3D5C27"/>
    <w:rsid w:val="4B4551F2"/>
    <w:rsid w:val="4C2220D4"/>
    <w:rsid w:val="4C6D69D1"/>
    <w:rsid w:val="4CEB2530"/>
    <w:rsid w:val="4D8016E5"/>
    <w:rsid w:val="4D863A49"/>
    <w:rsid w:val="4D9327C0"/>
    <w:rsid w:val="4DC718E7"/>
    <w:rsid w:val="4DD01001"/>
    <w:rsid w:val="4E665BA6"/>
    <w:rsid w:val="4F024081"/>
    <w:rsid w:val="4F560168"/>
    <w:rsid w:val="4F5746E4"/>
    <w:rsid w:val="4F6D24BE"/>
    <w:rsid w:val="50D8657E"/>
    <w:rsid w:val="51512E17"/>
    <w:rsid w:val="526977BB"/>
    <w:rsid w:val="52FB1BC2"/>
    <w:rsid w:val="53EF48C2"/>
    <w:rsid w:val="53F57A86"/>
    <w:rsid w:val="54895C40"/>
    <w:rsid w:val="54F42AFF"/>
    <w:rsid w:val="55600A1D"/>
    <w:rsid w:val="5567A25D"/>
    <w:rsid w:val="55B05FB6"/>
    <w:rsid w:val="560D74DF"/>
    <w:rsid w:val="567412A4"/>
    <w:rsid w:val="568A0C6F"/>
    <w:rsid w:val="56BB328C"/>
    <w:rsid w:val="57370DD3"/>
    <w:rsid w:val="57605D7D"/>
    <w:rsid w:val="57B35CE2"/>
    <w:rsid w:val="58913AC3"/>
    <w:rsid w:val="58E67C05"/>
    <w:rsid w:val="590F83E0"/>
    <w:rsid w:val="59375F5C"/>
    <w:rsid w:val="59630F03"/>
    <w:rsid w:val="597F8F05"/>
    <w:rsid w:val="5A055849"/>
    <w:rsid w:val="5A271408"/>
    <w:rsid w:val="5B73140F"/>
    <w:rsid w:val="5C9300D0"/>
    <w:rsid w:val="5CB32703"/>
    <w:rsid w:val="5CD35BE5"/>
    <w:rsid w:val="5D0004C6"/>
    <w:rsid w:val="5D4E0726"/>
    <w:rsid w:val="5FC37593"/>
    <w:rsid w:val="5FDF0B1C"/>
    <w:rsid w:val="60FA610A"/>
    <w:rsid w:val="613D007B"/>
    <w:rsid w:val="61C65AFE"/>
    <w:rsid w:val="62578C3C"/>
    <w:rsid w:val="62612361"/>
    <w:rsid w:val="639114E6"/>
    <w:rsid w:val="65797765"/>
    <w:rsid w:val="663F737A"/>
    <w:rsid w:val="675F8F65"/>
    <w:rsid w:val="67CB7260"/>
    <w:rsid w:val="67FD4902"/>
    <w:rsid w:val="687C1C1C"/>
    <w:rsid w:val="699E7C2F"/>
    <w:rsid w:val="69F16919"/>
    <w:rsid w:val="6A294847"/>
    <w:rsid w:val="6A65276C"/>
    <w:rsid w:val="6AC47901"/>
    <w:rsid w:val="6AFF3DA2"/>
    <w:rsid w:val="6B320384"/>
    <w:rsid w:val="6C02332D"/>
    <w:rsid w:val="6C0F7A99"/>
    <w:rsid w:val="6C257DC9"/>
    <w:rsid w:val="6C4B421F"/>
    <w:rsid w:val="6D5A4B7F"/>
    <w:rsid w:val="6EA39D6C"/>
    <w:rsid w:val="6F9D743A"/>
    <w:rsid w:val="6FBF1FE6"/>
    <w:rsid w:val="6FC7354D"/>
    <w:rsid w:val="6FFEDE62"/>
    <w:rsid w:val="6FFF682D"/>
    <w:rsid w:val="71080D89"/>
    <w:rsid w:val="7175080B"/>
    <w:rsid w:val="7186F4B4"/>
    <w:rsid w:val="726A1098"/>
    <w:rsid w:val="737B2704"/>
    <w:rsid w:val="73A6F0C8"/>
    <w:rsid w:val="73CC0211"/>
    <w:rsid w:val="73DE24EB"/>
    <w:rsid w:val="73EFABBB"/>
    <w:rsid w:val="741F23A4"/>
    <w:rsid w:val="74501C96"/>
    <w:rsid w:val="75E61BEE"/>
    <w:rsid w:val="75EE766E"/>
    <w:rsid w:val="75F745C8"/>
    <w:rsid w:val="7607511D"/>
    <w:rsid w:val="765833C3"/>
    <w:rsid w:val="77166765"/>
    <w:rsid w:val="7720627A"/>
    <w:rsid w:val="778962BC"/>
    <w:rsid w:val="779A77AC"/>
    <w:rsid w:val="77E9D9C2"/>
    <w:rsid w:val="77F30C7B"/>
    <w:rsid w:val="78B553DE"/>
    <w:rsid w:val="78E85C94"/>
    <w:rsid w:val="7917ABEF"/>
    <w:rsid w:val="791B108A"/>
    <w:rsid w:val="797D4315"/>
    <w:rsid w:val="7A100E94"/>
    <w:rsid w:val="7AC2683B"/>
    <w:rsid w:val="7B423B59"/>
    <w:rsid w:val="7B6FE944"/>
    <w:rsid w:val="7BA3EC91"/>
    <w:rsid w:val="7BE787CF"/>
    <w:rsid w:val="7C58388D"/>
    <w:rsid w:val="7C7A5981"/>
    <w:rsid w:val="7CF5D5DB"/>
    <w:rsid w:val="7D7EC8CD"/>
    <w:rsid w:val="7E282AF5"/>
    <w:rsid w:val="7E3D82B6"/>
    <w:rsid w:val="7E7F0693"/>
    <w:rsid w:val="7EBE223A"/>
    <w:rsid w:val="7ED92472"/>
    <w:rsid w:val="7F1879BC"/>
    <w:rsid w:val="7F3A5975"/>
    <w:rsid w:val="7FE5E5AE"/>
    <w:rsid w:val="7FED97DC"/>
    <w:rsid w:val="81EB3C3A"/>
    <w:rsid w:val="8CDA845A"/>
    <w:rsid w:val="99B77EE0"/>
    <w:rsid w:val="9FED37BA"/>
    <w:rsid w:val="B1E636EE"/>
    <w:rsid w:val="BDF6F2E2"/>
    <w:rsid w:val="BF69E885"/>
    <w:rsid w:val="BFB650B6"/>
    <w:rsid w:val="C6FCE371"/>
    <w:rsid w:val="CD3B0D55"/>
    <w:rsid w:val="CEE987AF"/>
    <w:rsid w:val="D57D44D0"/>
    <w:rsid w:val="D7EE2A06"/>
    <w:rsid w:val="DBB74874"/>
    <w:rsid w:val="DDF6AF67"/>
    <w:rsid w:val="DF7BDF92"/>
    <w:rsid w:val="DF8DE048"/>
    <w:rsid w:val="DFAB23FE"/>
    <w:rsid w:val="DFBFE4DB"/>
    <w:rsid w:val="DFFB9D36"/>
    <w:rsid w:val="E7F7B4E4"/>
    <w:rsid w:val="E7FDA2F2"/>
    <w:rsid w:val="EA6790F0"/>
    <w:rsid w:val="EBF5BF5A"/>
    <w:rsid w:val="EDFE27A9"/>
    <w:rsid w:val="EEFF3E89"/>
    <w:rsid w:val="EF7D7BB4"/>
    <w:rsid w:val="F047853D"/>
    <w:rsid w:val="F2ECBDBB"/>
    <w:rsid w:val="F5FF6C02"/>
    <w:rsid w:val="F69F3012"/>
    <w:rsid w:val="F6FE7D1F"/>
    <w:rsid w:val="F7BFE11D"/>
    <w:rsid w:val="FBDF6E2B"/>
    <w:rsid w:val="FE3F8DB9"/>
    <w:rsid w:val="FFD83BD6"/>
    <w:rsid w:val="FFDB47DB"/>
    <w:rsid w:val="FFDFD5D3"/>
    <w:rsid w:val="FFFD938C"/>
    <w:rsid w:val="FFFFD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楷体_GB2312"/>
    </w:rPr>
  </w:style>
  <w:style w:type="paragraph" w:styleId="3">
    <w:name w:val="annotation text"/>
    <w:basedOn w:val="1"/>
    <w:link w:val="9"/>
    <w:qFormat/>
    <w:uiPriority w:val="0"/>
    <w:pPr>
      <w:jc w:val="left"/>
    </w:pPr>
    <w:rPr>
      <w:rFonts w:ascii="??" w:hAnsi="??" w:eastAsia="宋体" w:cs="??"/>
      <w:sz w:val="32"/>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8">
    <w:name w:val="Strong"/>
    <w:basedOn w:val="7"/>
    <w:qFormat/>
    <w:uiPriority w:val="0"/>
    <w:rPr>
      <w:b/>
    </w:rPr>
  </w:style>
  <w:style w:type="character" w:customStyle="1" w:styleId="9">
    <w:name w:val="批注文字 Char"/>
    <w:basedOn w:val="7"/>
    <w:link w:val="3"/>
    <w:qFormat/>
    <w:uiPriority w:val="0"/>
    <w:rPr>
      <w:rFonts w:ascii="??" w:hAnsi="??" w:eastAsia="宋体" w:cs="??"/>
      <w:sz w:val="32"/>
      <w:szCs w:val="21"/>
    </w:rPr>
  </w:style>
  <w:style w:type="character" w:customStyle="1" w:styleId="10">
    <w:name w:val="font21"/>
    <w:basedOn w:val="7"/>
    <w:qFormat/>
    <w:uiPriority w:val="0"/>
    <w:rPr>
      <w:rFonts w:hint="eastAsia" w:ascii="宋体" w:hAnsi="宋体" w:eastAsia="宋体" w:cs="宋体"/>
      <w:color w:val="000000"/>
      <w:sz w:val="20"/>
      <w:szCs w:val="20"/>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1</TotalTime>
  <ScaleCrop>false</ScaleCrop>
  <LinksUpToDate>false</LinksUpToDate>
  <CharactersWithSpaces>2655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2020-08-09T09:20:00Z</dcterms:created>
  <dc:creator>NTKO</dc:creator>
  <cp:lastModifiedBy>zhk</cp:lastModifiedBy>
  <cp:lastPrinted>2024-07-31T02:28:00Z</cp:lastPrinted>
  <dcterms:modified xsi:type="dcterms:W3CDTF">2024-10-30T10:24:09Z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