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eastAsia="zh-CN"/>
        </w:rPr>
      </w:pPr>
      <w:bookmarkStart w:id="0" w:name="_GoBack"/>
      <w:r>
        <w:rPr>
          <w:rFonts w:hint="eastAsia"/>
          <w:b/>
          <w:color w:val="0000FF"/>
          <w:sz w:val="36"/>
          <w:szCs w:val="36"/>
          <w:highlight w:val="none"/>
          <w:lang w:val="en-US" w:eastAsia="zh-CN"/>
        </w:rPr>
        <w:t>GDP核算数据：</w:t>
      </w:r>
      <w:r>
        <w:rPr>
          <w:rFonts w:hint="eastAsia"/>
          <w:b/>
          <w:color w:val="0000FF"/>
          <w:sz w:val="36"/>
          <w:szCs w:val="36"/>
          <w:highlight w:val="none"/>
          <w:lang w:eastAsia="zh-CN"/>
        </w:rPr>
        <w:t>2024年</w:t>
      </w:r>
      <w:r>
        <w:rPr>
          <w:rFonts w:hint="default"/>
          <w:b/>
          <w:color w:val="0000FF"/>
          <w:sz w:val="36"/>
          <w:szCs w:val="36"/>
          <w:highlight w:val="none"/>
          <w:lang w:val="en" w:eastAsia="zh-CN"/>
        </w:rPr>
        <w:t>1-3季</w:t>
      </w:r>
      <w:r>
        <w:rPr>
          <w:rFonts w:hint="eastAsia"/>
          <w:b/>
          <w:color w:val="0000FF"/>
          <w:sz w:val="36"/>
          <w:szCs w:val="36"/>
          <w:highlight w:val="none"/>
          <w:lang w:eastAsia="zh-CN"/>
        </w:rPr>
        <w:t>度</w:t>
      </w:r>
      <w:r>
        <w:rPr>
          <w:rFonts w:hint="eastAsia"/>
          <w:b/>
          <w:color w:val="0000FF"/>
          <w:sz w:val="36"/>
          <w:szCs w:val="36"/>
          <w:highlight w:val="none"/>
        </w:rPr>
        <w:t>地区生产总值</w:t>
      </w:r>
      <w:r>
        <w:rPr>
          <w:rFonts w:hint="eastAsia"/>
          <w:b/>
          <w:color w:val="0000FF"/>
          <w:sz w:val="36"/>
          <w:szCs w:val="36"/>
          <w:highlight w:val="none"/>
          <w:lang w:eastAsia="zh-CN"/>
        </w:rPr>
        <w:t>情况</w:t>
      </w:r>
    </w:p>
    <w:bookmarkEnd w:id="0"/>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08"/>
        <w:gridCol w:w="3535"/>
        <w:gridCol w:w="3466"/>
        <w:gridCol w:w="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715" w:hRule="atLeast"/>
        </w:trPr>
        <w:tc>
          <w:tcPr>
            <w:tcW w:w="2302" w:type="pct"/>
            <w:tcBorders>
              <w:top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项  目</w:t>
            </w:r>
          </w:p>
        </w:tc>
        <w:tc>
          <w:tcPr>
            <w:tcW w:w="1332" w:type="pc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lang w:eastAsia="zh-CN"/>
              </w:rPr>
              <w:t>2024年</w:t>
            </w:r>
            <w:r>
              <w:rPr>
                <w:rFonts w:hint="default" w:ascii="宋体" w:hAnsi="宋体" w:cs="宋体"/>
                <w:kern w:val="0"/>
                <w:sz w:val="24"/>
                <w:lang w:val="en" w:eastAsia="zh-CN"/>
              </w:rPr>
              <w:t>1-3季</w:t>
            </w:r>
            <w:r>
              <w:rPr>
                <w:rFonts w:hint="eastAsia" w:ascii="宋体" w:hAnsi="宋体" w:cs="宋体"/>
                <w:kern w:val="0"/>
                <w:sz w:val="24"/>
                <w:lang w:eastAsia="zh-CN"/>
              </w:rPr>
              <w:t>度</w:t>
            </w:r>
          </w:p>
        </w:tc>
        <w:tc>
          <w:tcPr>
            <w:tcW w:w="1306"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single" w:color="000000" w:sz="4" w:space="0"/>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地区生产总值（万元）</w:t>
            </w:r>
          </w:p>
        </w:tc>
        <w:tc>
          <w:tcPr>
            <w:tcW w:w="3535" w:type="dxa"/>
            <w:tcBorders>
              <w:top w:val="single" w:color="000000" w:sz="4" w:space="0"/>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2764329 </w:t>
            </w:r>
          </w:p>
        </w:tc>
        <w:tc>
          <w:tcPr>
            <w:tcW w:w="3466" w:type="dxa"/>
            <w:tcBorders>
              <w:top w:val="single" w:color="000000" w:sz="4" w:space="0"/>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按产业分</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kern w:val="0"/>
                <w:sz w:val="24"/>
                <w:szCs w:val="24"/>
              </w:rPr>
            </w:pPr>
          </w:p>
        </w:tc>
        <w:tc>
          <w:tcPr>
            <w:tcW w:w="3466" w:type="dxa"/>
            <w:tcBorders>
              <w:top w:val="nil"/>
              <w:left w:val="single" w:color="000000" w:sz="6" w:space="0"/>
              <w:bottom w:val="nil"/>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第一产业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75142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第二产业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674452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第三产业</w:t>
            </w:r>
          </w:p>
        </w:tc>
        <w:tc>
          <w:tcPr>
            <w:tcW w:w="3535" w:type="dxa"/>
            <w:tcBorders>
              <w:top w:val="nil"/>
              <w:left w:val="single" w:color="000000" w:sz="6"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2014735 </w:t>
            </w:r>
          </w:p>
        </w:tc>
        <w:tc>
          <w:tcPr>
            <w:tcW w:w="3466" w:type="dxa"/>
            <w:tcBorders>
              <w:top w:val="nil"/>
              <w:left w:val="single" w:color="000000" w:sz="6"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4"/>
            <w:tcBorders>
              <w:top w:val="single" w:color="000000" w:sz="12" w:space="0"/>
              <w:bottom w:val="nil"/>
            </w:tcBorders>
            <w:vAlign w:val="center"/>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w:t>
            </w:r>
            <w:r>
              <w:rPr>
                <w:rFonts w:hint="eastAsia" w:ascii="楷体_GB2312" w:hAnsi="宋体" w:eastAsia="楷体_GB2312" w:cs="宋体"/>
                <w:b w:val="0"/>
                <w:bCs w:val="0"/>
                <w:sz w:val="24"/>
                <w:highlight w:val="none"/>
              </w:rPr>
              <w:t>中心的经济单位都应该纳入地</w:t>
            </w:r>
            <w:r>
              <w:rPr>
                <w:rFonts w:hint="eastAsia" w:ascii="楷体_GB2312" w:hAnsi="宋体" w:eastAsia="楷体_GB2312" w:cs="宋体"/>
                <w:b w:val="0"/>
                <w:bCs w:val="0"/>
                <w:sz w:val="24"/>
              </w:rPr>
              <w:t>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rPr>
            </w:pPr>
            <w:r>
              <w:rPr>
                <w:rFonts w:hint="eastAsia" w:ascii="楷体_GB2312" w:hAnsi="宋体" w:eastAsia="楷体_GB2312" w:cs="宋体"/>
                <w:b/>
                <w:sz w:val="24"/>
              </w:rPr>
              <w:t>2</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eastAsia="zh-CN"/>
              </w:rPr>
            </w:pPr>
            <w:r>
              <w:rPr>
                <w:rFonts w:hint="eastAsia" w:ascii="楷体_GB2312" w:hAnsi="宋体" w:eastAsia="楷体_GB2312" w:cs="宋体"/>
                <w:b/>
                <w:sz w:val="24"/>
              </w:rPr>
              <w:t>3</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val="en-US" w:eastAsia="zh-CN"/>
              </w:rPr>
            </w:pPr>
            <w:r>
              <w:rPr>
                <w:rFonts w:hint="eastAsia" w:ascii="楷体_GB2312" w:hAnsi="宋体" w:eastAsia="楷体_GB2312" w:cs="宋体"/>
                <w:b/>
                <w:sz w:val="24"/>
                <w:lang w:val="en-US" w:eastAsia="zh-CN"/>
              </w:rPr>
              <w:t>4、</w:t>
            </w:r>
            <w:r>
              <w:rPr>
                <w:rFonts w:hint="eastAsia" w:ascii="楷体_GB2312" w:hAnsi="宋体" w:eastAsia="楷体_GB2312" w:cs="宋体"/>
                <w:b w:val="0"/>
                <w:bCs w:val="0"/>
                <w:sz w:val="24"/>
                <w:lang w:val="en-US" w:eastAsia="zh-CN"/>
              </w:rPr>
              <w:t>按照我国地区生产总值统一核算和数据发布制度规定，地区生产总值核算包括初步核算和最终核实两个步骤。</w:t>
            </w:r>
          </w:p>
        </w:tc>
      </w:tr>
    </w:tbl>
    <w:p>
      <w:pPr>
        <w:pStyle w:val="2"/>
        <w:rPr>
          <w:rFonts w:hint="eastAsia"/>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农业统计数据：2024年</w:t>
      </w:r>
      <w:r>
        <w:rPr>
          <w:rFonts w:hint="default"/>
          <w:b/>
          <w:color w:val="0000FF"/>
          <w:sz w:val="36"/>
          <w:szCs w:val="36"/>
          <w:lang w:val="en" w:eastAsia="zh-CN"/>
        </w:rPr>
        <w:t>1-3季</w:t>
      </w:r>
      <w:r>
        <w:rPr>
          <w:rFonts w:hint="eastAsia"/>
          <w:b/>
          <w:color w:val="0000FF"/>
          <w:sz w:val="36"/>
          <w:szCs w:val="36"/>
          <w:lang w:eastAsia="zh-CN"/>
        </w:rPr>
        <w:t>度</w:t>
      </w:r>
      <w:r>
        <w:rPr>
          <w:rFonts w:hint="eastAsia"/>
          <w:b/>
          <w:color w:val="0000FF"/>
          <w:sz w:val="36"/>
          <w:szCs w:val="36"/>
        </w:rPr>
        <w:t>农林牧渔业生产情况</w:t>
      </w:r>
    </w:p>
    <w:tbl>
      <w:tblPr>
        <w:tblStyle w:val="6"/>
        <w:tblW w:w="13454" w:type="dxa"/>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523"/>
        <w:gridCol w:w="2886"/>
        <w:gridCol w:w="2568"/>
        <w:gridCol w:w="2477"/>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16" w:hRule="exact"/>
          <w:jc w:val="center"/>
        </w:trPr>
        <w:tc>
          <w:tcPr>
            <w:tcW w:w="552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28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lang w:eastAsia="zh-CN"/>
              </w:rPr>
              <w:t>2024年</w:t>
            </w:r>
            <w:r>
              <w:rPr>
                <w:rFonts w:hint="default" w:ascii="宋体" w:hAnsi="宋体" w:cs="宋体"/>
                <w:kern w:val="0"/>
                <w:sz w:val="24"/>
                <w:lang w:val="en" w:eastAsia="zh-CN"/>
              </w:rPr>
              <w:t>1-3季</w:t>
            </w:r>
            <w:r>
              <w:rPr>
                <w:rFonts w:hint="eastAsia" w:ascii="宋体" w:hAnsi="宋体" w:cs="宋体"/>
                <w:kern w:val="0"/>
                <w:sz w:val="24"/>
                <w:lang w:eastAsia="zh-CN"/>
              </w:rPr>
              <w:t>度</w:t>
            </w:r>
          </w:p>
        </w:tc>
        <w:tc>
          <w:tcPr>
            <w:tcW w:w="256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b/>
                <w:bCs/>
                <w:kern w:val="0"/>
                <w:sz w:val="24"/>
                <w:highlight w:val="none"/>
              </w:rPr>
            </w:pPr>
            <w:r>
              <w:rPr>
                <w:rFonts w:hint="eastAsia" w:ascii="宋体" w:hAnsi="宋体" w:cs="宋体"/>
                <w:kern w:val="0"/>
                <w:sz w:val="24"/>
                <w:lang w:eastAsia="zh-CN"/>
              </w:rPr>
              <w:t>2023年</w:t>
            </w:r>
            <w:r>
              <w:rPr>
                <w:rFonts w:hint="default" w:ascii="宋体" w:hAnsi="宋体" w:cs="宋体"/>
                <w:kern w:val="0"/>
                <w:sz w:val="24"/>
                <w:lang w:val="en" w:eastAsia="zh-CN"/>
              </w:rPr>
              <w:t>1-3季</w:t>
            </w:r>
            <w:r>
              <w:rPr>
                <w:rFonts w:hint="eastAsia" w:ascii="宋体" w:hAnsi="宋体" w:cs="宋体"/>
                <w:kern w:val="0"/>
                <w:sz w:val="24"/>
                <w:lang w:eastAsia="zh-CN"/>
              </w:rPr>
              <w:t>度</w:t>
            </w:r>
          </w:p>
        </w:tc>
        <w:tc>
          <w:tcPr>
            <w:tcW w:w="24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outlineLvl w:val="9"/>
              <w:rPr>
                <w:rFonts w:ascii="宋体" w:hAnsi="宋体" w:cs="宋体"/>
                <w:b/>
                <w:kern w:val="0"/>
                <w:sz w:val="24"/>
              </w:rPr>
            </w:pPr>
            <w:r>
              <w:rPr>
                <w:rFonts w:hint="eastAsia" w:ascii="宋体" w:hAnsi="宋体" w:cs="宋体"/>
                <w:b/>
                <w:kern w:val="0"/>
                <w:sz w:val="24"/>
              </w:rPr>
              <w:t>农林牧渔业总产值（</w:t>
            </w:r>
            <w:r>
              <w:rPr>
                <w:rFonts w:hint="eastAsia" w:ascii="宋体" w:hAnsi="宋体" w:cs="宋体"/>
                <w:b/>
                <w:kern w:val="0"/>
                <w:sz w:val="24"/>
                <w:lang w:eastAsia="zh-CN"/>
              </w:rPr>
              <w:t>万</w:t>
            </w:r>
            <w:r>
              <w:rPr>
                <w:rFonts w:hint="eastAsia" w:ascii="宋体" w:hAnsi="宋体" w:cs="宋体"/>
                <w:b/>
                <w:kern w:val="0"/>
                <w:sz w:val="24"/>
              </w:rPr>
              <w:t>元）</w:t>
            </w:r>
          </w:p>
        </w:tc>
        <w:tc>
          <w:tcPr>
            <w:tcW w:w="2886"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168055 </w:t>
            </w:r>
          </w:p>
        </w:tc>
        <w:tc>
          <w:tcPr>
            <w:tcW w:w="2568"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198003 </w:t>
            </w:r>
          </w:p>
        </w:tc>
        <w:tc>
          <w:tcPr>
            <w:tcW w:w="2477"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-15.1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40" w:firstLineChars="100"/>
              <w:jc w:val="left"/>
              <w:outlineLvl w:val="9"/>
              <w:rPr>
                <w:rFonts w:ascii="宋体" w:hAnsi="宋体" w:cs="宋体"/>
                <w:kern w:val="0"/>
                <w:sz w:val="24"/>
              </w:rPr>
            </w:pPr>
            <w:r>
              <w:rPr>
                <w:rFonts w:hint="eastAsia" w:ascii="宋体" w:hAnsi="宋体" w:cs="宋体"/>
                <w:kern w:val="0"/>
                <w:sz w:val="24"/>
              </w:rPr>
              <w:t>农业产值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89913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87042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3.3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rPr>
              <w:t xml:space="preserve">  林业产值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 xml:space="preserve">29061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66600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-56.4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牧业产值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39811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35642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11.7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渔业产值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1826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1178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54.9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农林牧渔</w:t>
            </w:r>
            <w:r>
              <w:rPr>
                <w:rFonts w:hint="eastAsia" w:ascii="宋体" w:hAnsi="宋体" w:cs="宋体"/>
                <w:kern w:val="0"/>
                <w:sz w:val="24"/>
                <w:lang w:eastAsia="zh-CN"/>
              </w:rPr>
              <w:t>专业及辅助性活动产值</w:t>
            </w:r>
            <w:r>
              <w:rPr>
                <w:rFonts w:hint="eastAsia" w:ascii="宋体" w:hAnsi="宋体" w:cs="宋体"/>
                <w:kern w:val="0"/>
                <w:sz w:val="24"/>
              </w:rPr>
              <w:t xml:space="preserve"> </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7444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7540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kern w:val="0"/>
                <w:sz w:val="24"/>
                <w:szCs w:val="24"/>
                <w:lang w:val="en-US"/>
              </w:rPr>
            </w:pPr>
            <w:r>
              <w:rPr>
                <w:rFonts w:hint="eastAsia" w:ascii="宋体" w:hAnsi="宋体" w:eastAsia="宋体" w:cs="宋体"/>
                <w:i w:val="0"/>
                <w:color w:val="000000"/>
                <w:kern w:val="0"/>
                <w:sz w:val="24"/>
                <w:szCs w:val="24"/>
                <w:u w:val="none"/>
                <w:lang w:val="en-US" w:eastAsia="zh-CN" w:bidi="ar"/>
              </w:rPr>
              <w:t xml:space="preserve">-1.3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30" w:hRule="exact"/>
          <w:jc w:val="center"/>
        </w:trPr>
        <w:tc>
          <w:tcPr>
            <w:tcW w:w="13454" w:type="dxa"/>
            <w:gridSpan w:val="4"/>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：农林牧渔业单位</w:t>
            </w:r>
            <w:r>
              <w:rPr>
                <w:rFonts w:hint="eastAsia" w:ascii="楷体_GB2312" w:hAnsi="宋体" w:eastAsia="楷体_GB2312" w:cs="宋体"/>
                <w:sz w:val="24"/>
                <w:szCs w:val="24"/>
                <w:lang w:eastAsia="zh-CN"/>
              </w:rPr>
              <w:t>及农户</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按照《郊区统计报表制度》的规定，由乡镇、区、到市级，逐级</w:t>
            </w:r>
            <w:r>
              <w:rPr>
                <w:rFonts w:hint="eastAsia" w:ascii="楷体_GB2312" w:hAnsi="宋体" w:eastAsia="楷体_GB2312" w:cs="宋体"/>
                <w:sz w:val="24"/>
                <w:szCs w:val="24"/>
                <w:lang w:eastAsia="zh-CN"/>
              </w:rPr>
              <w:t>核算</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：农林牧渔业总产值</w:t>
            </w:r>
            <w:r>
              <w:rPr>
                <w:rFonts w:hint="eastAsia" w:ascii="楷体_GB2312" w:hAnsi="宋体" w:eastAsia="楷体_GB2312" w:cs="宋体"/>
                <w:bCs/>
                <w:sz w:val="24"/>
                <w:szCs w:val="24"/>
                <w:lang w:eastAsia="zh-CN"/>
              </w:rPr>
              <w:t>：指</w:t>
            </w:r>
            <w:r>
              <w:rPr>
                <w:rFonts w:hint="eastAsia" w:ascii="楷体_GB2312" w:hAnsi="宋体" w:eastAsia="楷体_GB2312" w:cs="宋体"/>
                <w:bCs/>
                <w:sz w:val="24"/>
                <w:szCs w:val="24"/>
              </w:rPr>
              <w:t>以货币表现的农林牧渔业的全部产品总量和对农林牧渔业生产活动进行的各种支持性服务活动的价值。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outlineLvl w:val="9"/>
              <w:rPr>
                <w:rFonts w:hint="eastAsia" w:ascii="楷体_GB2312" w:hAnsi="宋体" w:eastAsia="楷体_GB2312" w:cs="宋体"/>
                <w:sz w:val="21"/>
                <w:szCs w:val="21"/>
              </w:rPr>
            </w:pPr>
          </w:p>
        </w:tc>
      </w:tr>
    </w:tbl>
    <w:p>
      <w:pPr>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统计数据：2024年</w:t>
      </w:r>
      <w:r>
        <w:rPr>
          <w:rFonts w:hint="default"/>
          <w:b/>
          <w:color w:val="0000FF"/>
          <w:sz w:val="36"/>
          <w:szCs w:val="36"/>
          <w:lang w:val="en" w:eastAsia="zh-CN"/>
        </w:rPr>
        <w:t>1-3季度</w:t>
      </w:r>
      <w:r>
        <w:rPr>
          <w:rFonts w:hint="eastAsia" w:cs="Times New Roman"/>
          <w:b/>
          <w:color w:val="0000FF"/>
          <w:kern w:val="2"/>
          <w:sz w:val="36"/>
          <w:szCs w:val="36"/>
          <w:lang w:eastAsia="zh-CN"/>
        </w:rPr>
        <w:t>乡村休闲旅游经营</w:t>
      </w:r>
      <w:r>
        <w:rPr>
          <w:rFonts w:hint="eastAsia"/>
          <w:b/>
          <w:color w:val="0000FF"/>
          <w:sz w:val="36"/>
          <w:szCs w:val="36"/>
        </w:rPr>
        <w:t>情况</w:t>
      </w:r>
    </w:p>
    <w:tbl>
      <w:tblPr>
        <w:tblStyle w:val="6"/>
        <w:tblW w:w="4998" w:type="pct"/>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234"/>
        <w:gridCol w:w="4080"/>
        <w:gridCol w:w="4135"/>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40" w:hRule="exact"/>
          <w:jc w:val="center"/>
        </w:trPr>
        <w:tc>
          <w:tcPr>
            <w:tcW w:w="1946"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1517"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highlight w:val="none"/>
                <w:lang w:val="en"/>
              </w:rPr>
            </w:pPr>
            <w:r>
              <w:rPr>
                <w:rFonts w:hint="eastAsia" w:ascii="宋体" w:hAnsi="宋体" w:cs="宋体"/>
                <w:kern w:val="0"/>
                <w:sz w:val="24"/>
                <w:highlight w:val="none"/>
                <w:lang w:eastAsia="zh-CN"/>
              </w:rPr>
              <w:t>2024年</w:t>
            </w:r>
            <w:r>
              <w:rPr>
                <w:rFonts w:hint="default" w:ascii="宋体" w:hAnsi="宋体" w:cs="宋体"/>
                <w:kern w:val="0"/>
                <w:sz w:val="24"/>
                <w:highlight w:val="none"/>
                <w:lang w:val="en" w:eastAsia="zh-CN"/>
              </w:rPr>
              <w:t>1-3季度</w:t>
            </w:r>
          </w:p>
        </w:tc>
        <w:tc>
          <w:tcPr>
            <w:tcW w:w="1535"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highlight w:val="none"/>
                <w:lang w:eastAsia="zh-CN"/>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02" w:hRule="exact"/>
          <w:jc w:val="center"/>
        </w:trPr>
        <w:tc>
          <w:tcPr>
            <w:tcW w:w="194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宋体" w:hAnsi="宋体" w:cs="宋体"/>
                <w:kern w:val="0"/>
                <w:sz w:val="24"/>
                <w:lang w:val="en-US" w:eastAsia="zh-CN"/>
              </w:rPr>
            </w:pPr>
            <w:r>
              <w:rPr>
                <w:rFonts w:hint="eastAsia" w:ascii="宋体" w:hAnsi="宋体" w:eastAsia="宋体" w:cs="宋体"/>
                <w:b w:val="0"/>
                <w:bCs/>
                <w:i w:val="0"/>
                <w:color w:val="000000"/>
                <w:kern w:val="0"/>
                <w:sz w:val="24"/>
                <w:szCs w:val="24"/>
                <w:u w:val="none"/>
                <w:lang w:val="en-US" w:eastAsia="zh-CN" w:bidi="ar-SA"/>
              </w:rPr>
              <w:t xml:space="preserve">  </w:t>
            </w:r>
            <w:r>
              <w:rPr>
                <w:rFonts w:hint="eastAsia" w:asciiTheme="minorEastAsia" w:hAnsiTheme="minorEastAsia" w:eastAsiaTheme="minorEastAsia" w:cstheme="minorEastAsia"/>
                <w:b w:val="0"/>
                <w:bCs/>
                <w:i w:val="0"/>
                <w:color w:val="000000"/>
                <w:kern w:val="0"/>
                <w:sz w:val="24"/>
                <w:szCs w:val="24"/>
                <w:u w:val="none"/>
                <w:lang w:val="en-US" w:eastAsia="zh-CN" w:bidi="ar-SA"/>
              </w:rPr>
              <w:t>总收入（万元</w:t>
            </w:r>
            <w:r>
              <w:rPr>
                <w:rFonts w:hint="eastAsia" w:asciiTheme="minorEastAsia" w:hAnsiTheme="minorEastAsia" w:eastAsiaTheme="minorEastAsia" w:cstheme="minorEastAsia"/>
                <w:kern w:val="0"/>
                <w:sz w:val="24"/>
                <w:lang w:val="en-US" w:eastAsia="zh-CN"/>
              </w:rPr>
              <w:t>）</w:t>
            </w:r>
          </w:p>
        </w:tc>
        <w:tc>
          <w:tcPr>
            <w:tcW w:w="40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60095 </w:t>
            </w:r>
          </w:p>
        </w:tc>
        <w:tc>
          <w:tcPr>
            <w:tcW w:w="41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0.4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56" w:hRule="exact"/>
          <w:jc w:val="center"/>
        </w:trPr>
        <w:tc>
          <w:tcPr>
            <w:tcW w:w="1946" w:type="pct"/>
            <w:tcBorders>
              <w:bottom w:val="single" w:color="auto" w:sz="12" w:space="0"/>
            </w:tcBorders>
            <w:vAlign w:val="center"/>
          </w:tcPr>
          <w:p>
            <w:pPr>
              <w:jc w:val="both"/>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b w:val="0"/>
                <w:bCs/>
                <w:i w:val="0"/>
                <w:color w:val="000000"/>
                <w:kern w:val="0"/>
                <w:sz w:val="24"/>
                <w:szCs w:val="24"/>
                <w:u w:val="none"/>
                <w:lang w:val="en-US" w:eastAsia="zh-CN" w:bidi="ar-SA"/>
              </w:rPr>
              <w:t>接待人次（万人次）</w:t>
            </w:r>
          </w:p>
        </w:tc>
        <w:tc>
          <w:tcPr>
            <w:tcW w:w="4080" w:type="dxa"/>
            <w:tcBorders>
              <w:bottom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sz w:val="24"/>
                <w:szCs w:val="24"/>
              </w:rPr>
            </w:pPr>
            <w:r>
              <w:rPr>
                <w:rFonts w:hint="eastAsia" w:ascii="宋体" w:hAnsi="宋体" w:eastAsia="宋体" w:cs="宋体"/>
                <w:i w:val="0"/>
                <w:color w:val="000000"/>
                <w:kern w:val="0"/>
                <w:sz w:val="24"/>
                <w:szCs w:val="24"/>
                <w:u w:val="none"/>
                <w:lang w:val="en-US" w:eastAsia="zh-CN" w:bidi="ar"/>
              </w:rPr>
              <w:t xml:space="preserve">356.2 </w:t>
            </w:r>
          </w:p>
        </w:tc>
        <w:tc>
          <w:tcPr>
            <w:tcW w:w="4135" w:type="dxa"/>
            <w:tcBorders>
              <w:bottom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-4.8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PrEx>
        <w:trPr>
          <w:trHeight w:val="1998" w:hRule="exact"/>
          <w:jc w:val="center"/>
        </w:trPr>
        <w:tc>
          <w:tcPr>
            <w:tcW w:w="5000" w:type="pct"/>
            <w:gridSpan w:val="3"/>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keepNext w:val="0"/>
              <w:keepLines w:val="0"/>
              <w:pageBreakBefore w:val="0"/>
              <w:kinsoku/>
              <w:wordWrap/>
              <w:overflowPunct/>
              <w:topLinePunct w:val="0"/>
              <w:autoSpaceDE/>
              <w:autoSpaceDN/>
              <w:bidi w:val="0"/>
              <w:adjustRightInd w:val="0"/>
              <w:snapToGrid w:val="0"/>
              <w:spacing w:beforeLines="0" w:afterLines="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w:t>
            </w:r>
            <w:r>
              <w:rPr>
                <w:rFonts w:hint="eastAsia" w:ascii="楷体_GB2312" w:hAnsi="宋体" w:eastAsia="楷体_GB2312" w:cs="宋体"/>
                <w:kern w:val="0"/>
                <w:sz w:val="24"/>
                <w:szCs w:val="24"/>
                <w:lang w:val="en-US" w:eastAsia="zh-CN" w:bidi="ar-SA"/>
              </w:rPr>
              <w:t>行政村范围内乡村休闲旅游经营主体。</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lang w:val="en-US" w:eastAsia="zh-CN"/>
              </w:rPr>
            </w:pP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按照《郊区统计报表制度》的规定，由村、乡镇、区、到市级，逐级汇总。</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w:t>
            </w:r>
            <w:r>
              <w:rPr>
                <w:rFonts w:hint="eastAsia" w:ascii="楷体_GB2312" w:hAnsi="宋体" w:eastAsia="楷体_GB2312" w:cs="宋体"/>
                <w:bCs/>
                <w:sz w:val="24"/>
                <w:szCs w:val="24"/>
                <w:lang w:val="en-US" w:eastAsia="zh-CN"/>
              </w:rPr>
              <w:t>接待人次：指规定调查期内经营主体接待的人次。总收入：指经营主体从事各类业务活动取得的收入。具体包括门票收入、采摘收入、出售农产品收入、出售其他商品收入、休闲娱乐收入、餐饮收入、住宿收入和其他收入</w:t>
            </w:r>
          </w:p>
        </w:tc>
      </w:tr>
    </w:tbl>
    <w:p>
      <w:pPr>
        <w:jc w:val="center"/>
        <w:rPr>
          <w:rFonts w:hint="eastAsia"/>
          <w:b/>
          <w:color w:val="0000FF"/>
          <w:sz w:val="36"/>
          <w:szCs w:val="36"/>
          <w:lang w:eastAsia="zh-CN"/>
        </w:rPr>
      </w:pPr>
    </w:p>
    <w:p>
      <w:pPr>
        <w:pStyle w:val="2"/>
        <w:rPr>
          <w:rFonts w:hint="eastAsia"/>
          <w:b/>
          <w:color w:val="0000FF"/>
          <w:sz w:val="36"/>
          <w:szCs w:val="36"/>
          <w:lang w:eastAsia="zh-CN"/>
        </w:rPr>
      </w:pPr>
    </w:p>
    <w:p>
      <w:pPr>
        <w:rPr>
          <w:rFonts w:hint="eastAsia"/>
          <w:b/>
          <w:color w:val="0000FF"/>
          <w:sz w:val="36"/>
          <w:szCs w:val="36"/>
          <w:lang w:eastAsia="zh-CN"/>
        </w:rPr>
      </w:pPr>
    </w:p>
    <w:p>
      <w:pPr>
        <w:pStyle w:val="2"/>
        <w:rPr>
          <w:rFonts w:hint="eastAsia"/>
          <w:b/>
          <w:color w:val="0000FF"/>
          <w:sz w:val="36"/>
          <w:szCs w:val="36"/>
          <w:lang w:eastAsia="zh-CN"/>
        </w:rPr>
      </w:pPr>
    </w:p>
    <w:p>
      <w:pPr>
        <w:rPr>
          <w:rFonts w:hint="eastAsia"/>
          <w:lang w:eastAsia="zh-CN"/>
        </w:rPr>
      </w:pPr>
    </w:p>
    <w:p>
      <w:pPr>
        <w:rPr>
          <w:rFonts w:hint="eastAsia"/>
          <w:b/>
          <w:color w:val="0000FF"/>
          <w:sz w:val="36"/>
          <w:szCs w:val="36"/>
          <w:lang w:eastAsia="zh-CN"/>
        </w:rPr>
      </w:pPr>
    </w:p>
    <w:p>
      <w:pPr>
        <w:pStyle w:val="2"/>
        <w:rPr>
          <w:rFonts w:hint="eastAsia"/>
          <w:lang w:eastAsia="zh-CN"/>
        </w:rPr>
      </w:pPr>
    </w:p>
    <w:p>
      <w:pPr>
        <w:rPr>
          <w:rFonts w:hint="eastAsia"/>
          <w:lang w:eastAsia="zh-CN"/>
        </w:rPr>
      </w:pPr>
    </w:p>
    <w:p>
      <w:pPr>
        <w:rPr>
          <w:rFonts w:hint="eastAsia"/>
          <w:lang w:eastAsia="zh-CN"/>
        </w:rPr>
      </w:pPr>
    </w:p>
    <w:p>
      <w:pPr>
        <w:jc w:val="center"/>
        <w:rPr>
          <w:rFonts w:hint="eastAsia"/>
          <w:b/>
          <w:color w:val="0000FF"/>
          <w:sz w:val="36"/>
          <w:szCs w:val="36"/>
        </w:rPr>
      </w:pPr>
      <w:r>
        <w:rPr>
          <w:rFonts w:hint="eastAsia"/>
          <w:b/>
          <w:color w:val="0000FF"/>
          <w:sz w:val="36"/>
          <w:szCs w:val="36"/>
          <w:lang w:eastAsia="zh-CN"/>
        </w:rPr>
        <w:t>建筑业统计数据：2024年</w:t>
      </w:r>
      <w:r>
        <w:rPr>
          <w:rFonts w:hint="default"/>
          <w:b/>
          <w:color w:val="0000FF"/>
          <w:sz w:val="36"/>
          <w:szCs w:val="36"/>
          <w:lang w:val="en" w:eastAsia="zh-CN"/>
        </w:rPr>
        <w:t>1-3季</w:t>
      </w:r>
      <w:r>
        <w:rPr>
          <w:rFonts w:hint="eastAsia"/>
          <w:b/>
          <w:color w:val="0000FF"/>
          <w:sz w:val="36"/>
          <w:szCs w:val="36"/>
          <w:lang w:eastAsia="zh-CN"/>
        </w:rPr>
        <w:t>度</w:t>
      </w:r>
      <w:r>
        <w:rPr>
          <w:rFonts w:hint="eastAsia"/>
          <w:b/>
          <w:color w:val="0000FF"/>
          <w:sz w:val="36"/>
          <w:szCs w:val="36"/>
        </w:rPr>
        <w:t>资质建筑业企业</w:t>
      </w:r>
      <w:r>
        <w:rPr>
          <w:rFonts w:hint="eastAsia"/>
          <w:b/>
          <w:color w:val="0000FF"/>
          <w:sz w:val="36"/>
          <w:szCs w:val="36"/>
          <w:lang w:eastAsia="zh-CN"/>
        </w:rPr>
        <w:t>生产</w:t>
      </w:r>
      <w:r>
        <w:rPr>
          <w:rFonts w:hint="eastAsia"/>
          <w:b/>
          <w:color w:val="0000FF"/>
          <w:sz w:val="36"/>
          <w:szCs w:val="36"/>
        </w:rPr>
        <w:t>情况</w:t>
      </w:r>
    </w:p>
    <w:tbl>
      <w:tblPr>
        <w:tblStyle w:val="6"/>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
        <w:gridCol w:w="3560"/>
        <w:gridCol w:w="1536"/>
        <w:gridCol w:w="1680"/>
        <w:gridCol w:w="1560"/>
        <w:gridCol w:w="1692"/>
        <w:gridCol w:w="174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3592" w:type="dxa"/>
            <w:gridSpan w:val="2"/>
            <w:vMerge w:val="restart"/>
            <w:tcBorders>
              <w:top w:val="single" w:color="auto" w:sz="1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top w:val="single" w:color="auto" w:sz="1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trPr>
        <w:tc>
          <w:tcPr>
            <w:tcW w:w="3592" w:type="dxa"/>
            <w:gridSpan w:val="2"/>
            <w:vMerge w:val="continue"/>
            <w:tcBorders>
              <w:top w:val="single" w:color="auto" w:sz="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p>
        </w:tc>
        <w:tc>
          <w:tcPr>
            <w:tcW w:w="15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single" w:color="auto" w:sz="2" w:space="0"/>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2590137 </w:t>
            </w:r>
          </w:p>
        </w:tc>
        <w:tc>
          <w:tcPr>
            <w:tcW w:w="168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16.8 </w:t>
            </w:r>
          </w:p>
        </w:tc>
        <w:tc>
          <w:tcPr>
            <w:tcW w:w="156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1175978 </w:t>
            </w:r>
          </w:p>
        </w:tc>
        <w:tc>
          <w:tcPr>
            <w:tcW w:w="1692"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4.2 </w:t>
            </w:r>
          </w:p>
        </w:tc>
        <w:tc>
          <w:tcPr>
            <w:tcW w:w="174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753304 </w:t>
            </w:r>
          </w:p>
        </w:tc>
        <w:tc>
          <w:tcPr>
            <w:tcW w:w="1468" w:type="dxa"/>
            <w:tcBorders>
              <w:top w:val="single" w:color="auto" w:sz="2" w:space="0"/>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989117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35.8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292696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16.0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245560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1050346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3.2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506527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-4.8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329408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140839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55553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6.8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13012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409836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18.3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321202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9.9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165325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2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1985391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19.6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523093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11.6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448206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08" w:hRule="exact"/>
        </w:trPr>
        <w:tc>
          <w:tcPr>
            <w:tcW w:w="3592" w:type="dxa"/>
            <w:gridSpan w:val="2"/>
            <w:tcBorders>
              <w:top w:val="nil"/>
              <w:left w:val="nil"/>
              <w:bottom w:val="single" w:color="auto" w:sz="1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604746 </w:t>
            </w:r>
          </w:p>
        </w:tc>
        <w:tc>
          <w:tcPr>
            <w:tcW w:w="168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8.6 </w:t>
            </w:r>
          </w:p>
        </w:tc>
        <w:tc>
          <w:tcPr>
            <w:tcW w:w="156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652886 </w:t>
            </w:r>
          </w:p>
        </w:tc>
        <w:tc>
          <w:tcPr>
            <w:tcW w:w="1692"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 </w:t>
            </w:r>
          </w:p>
        </w:tc>
        <w:tc>
          <w:tcPr>
            <w:tcW w:w="174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305098 </w:t>
            </w:r>
          </w:p>
        </w:tc>
        <w:tc>
          <w:tcPr>
            <w:tcW w:w="1468" w:type="dxa"/>
            <w:tcBorders>
              <w:top w:val="nil"/>
              <w:left w:val="single" w:color="auto" w:sz="2" w:space="0"/>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w:t>
            </w:r>
            <w:r>
              <w:rPr>
                <w:rFonts w:hint="eastAsia" w:ascii="楷体_GB2312" w:hAnsi="宋体" w:eastAsia="楷体_GB2312" w:cs="宋体"/>
                <w:bCs/>
                <w:kern w:val="0"/>
                <w:sz w:val="24"/>
                <w:szCs w:val="24"/>
                <w:lang w:val="en-US" w:eastAsia="zh-CN" w:bidi="ar-SA"/>
              </w:rPr>
              <w:t>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bCs/>
                <w:kern w:val="0"/>
                <w:sz w:val="24"/>
                <w:szCs w:val="24"/>
                <w:lang w:val="en-US" w:eastAsia="zh-CN" w:bidi="ar-SA"/>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b w:val="0"/>
                <w:bCs/>
                <w:kern w:val="0"/>
                <w:sz w:val="24"/>
                <w:szCs w:val="24"/>
              </w:rPr>
              <w:t>签订合同额</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指建筑业企业在报告期直接同建设单位签订的各种国内工程合同的总价款和以前年度同建设单位签订的各种国内工程合同的未完工程跨入本年度继续施工工程合同的总价款余额。建筑业总产值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竣工产值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一般是以单位工程为对象，当该工程按照设计所规定的工程内容全部完成，达到了设计规定的交工条件，经有关部门检查验收鉴定合格的单位工程价值，即为竣工产值。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tbl>
            <w:tblPr>
              <w:tblStyle w:val="6"/>
              <w:tblpPr w:leftFromText="180" w:rightFromText="180" w:vertAnchor="text" w:horzAnchor="page" w:tblpX="3" w:tblpY="-3244"/>
              <w:tblOverlap w:val="never"/>
              <w:tblW w:w="13191" w:type="dxa"/>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767"/>
              <w:gridCol w:w="2013"/>
              <w:gridCol w:w="2087"/>
              <w:gridCol w:w="2129"/>
              <w:gridCol w:w="1040"/>
              <w:gridCol w:w="1155"/>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gridAfter w:val="1"/>
                <w:wAfter w:w="1155" w:type="dxa"/>
                <w:trHeight w:val="476" w:hRule="atLeast"/>
              </w:trPr>
              <w:tc>
                <w:tcPr>
                  <w:tcW w:w="12036" w:type="dxa"/>
                  <w:gridSpan w:val="5"/>
                  <w:tcBorders>
                    <w:tl2br w:val="nil"/>
                    <w:tr2bl w:val="nil"/>
                  </w:tcBorders>
                  <w:tcMar>
                    <w:left w:w="84" w:type="dxa"/>
                    <w:right w:w="84" w:type="dxa"/>
                  </w:tcMar>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eastAsia="宋体"/>
                      <w:b/>
                      <w:color w:val="404040"/>
                      <w:sz w:val="30"/>
                      <w:szCs w:val="30"/>
                      <w:lang w:eastAsia="zh-CN"/>
                    </w:rPr>
                  </w:pPr>
                  <w:r>
                    <w:rPr>
                      <w:rFonts w:hint="eastAsia"/>
                      <w:b/>
                      <w:color w:val="0000FF"/>
                      <w:sz w:val="36"/>
                      <w:szCs w:val="36"/>
                      <w:lang w:val="en-US" w:eastAsia="zh-CN"/>
                    </w:rPr>
                    <w:t xml:space="preserve">       居民收支统计数据：</w:t>
                  </w:r>
                  <w:r>
                    <w:rPr>
                      <w:rFonts w:hint="eastAsia"/>
                      <w:b/>
                      <w:color w:val="0000FF"/>
                      <w:sz w:val="36"/>
                      <w:szCs w:val="36"/>
                      <w:lang w:eastAsia="zh-CN"/>
                    </w:rPr>
                    <w:t>2024年</w:t>
                  </w:r>
                  <w:r>
                    <w:rPr>
                      <w:rFonts w:hint="default"/>
                      <w:b/>
                      <w:color w:val="0000FF"/>
                      <w:sz w:val="36"/>
                      <w:szCs w:val="36"/>
                      <w:lang w:val="en" w:eastAsia="zh-CN"/>
                    </w:rPr>
                    <w:t>1-3季</w:t>
                  </w:r>
                  <w:r>
                    <w:rPr>
                      <w:rFonts w:hint="eastAsia"/>
                      <w:b/>
                      <w:color w:val="0000FF"/>
                      <w:sz w:val="36"/>
                      <w:szCs w:val="36"/>
                      <w:lang w:eastAsia="zh-CN"/>
                    </w:rPr>
                    <w:t>度居民人均可支配收入情况</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431" w:hRule="atLeast"/>
              </w:trPr>
              <w:tc>
                <w:tcPr>
                  <w:tcW w:w="4767" w:type="dxa"/>
                  <w:vMerge w:val="restart"/>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指 标 名 称</w:t>
                  </w:r>
                </w:p>
              </w:tc>
              <w:tc>
                <w:tcPr>
                  <w:tcW w:w="4100" w:type="dxa"/>
                  <w:gridSpan w:val="2"/>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全区居民</w:t>
                  </w:r>
                </w:p>
              </w:tc>
              <w:tc>
                <w:tcPr>
                  <w:tcW w:w="4324" w:type="dxa"/>
                  <w:gridSpan w:val="3"/>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rPr>
                  </w:pPr>
                  <w:r>
                    <w:rPr>
                      <w:rStyle w:val="8"/>
                      <w:rFonts w:hint="eastAsia" w:ascii="宋体" w:hAnsi="宋体" w:eastAsia="宋体" w:cs="宋体"/>
                      <w:b w:val="0"/>
                      <w:bCs/>
                      <w:color w:val="404040"/>
                      <w:sz w:val="24"/>
                      <w:szCs w:val="24"/>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atLeast"/>
              </w:trPr>
              <w:tc>
                <w:tcPr>
                  <w:tcW w:w="4767" w:type="dxa"/>
                  <w:vMerge w:val="continue"/>
                  <w:tcBorders>
                    <w:top w:val="single" w:color="auto" w:sz="2" w:space="0"/>
                    <w:bottom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outlineLvl w:val="9"/>
                    <w:rPr>
                      <w:rFonts w:hint="eastAsia" w:ascii="宋体" w:hAnsi="宋体" w:eastAsia="宋体" w:cs="宋体"/>
                      <w:b w:val="0"/>
                      <w:bCs/>
                      <w:sz w:val="24"/>
                      <w:szCs w:val="24"/>
                    </w:rPr>
                  </w:pPr>
                </w:p>
              </w:tc>
              <w:tc>
                <w:tcPr>
                  <w:tcW w:w="2013"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2024年</w:t>
                  </w:r>
                  <w:r>
                    <w:rPr>
                      <w:rStyle w:val="8"/>
                      <w:rFonts w:hint="default" w:ascii="宋体" w:hAnsi="宋体" w:eastAsia="宋体" w:cs="宋体"/>
                      <w:b w:val="0"/>
                      <w:bCs/>
                      <w:color w:val="404040"/>
                      <w:sz w:val="24"/>
                      <w:szCs w:val="24"/>
                      <w:lang w:val="en" w:eastAsia="zh-CN"/>
                    </w:rPr>
                    <w:t>1-3季</w:t>
                  </w:r>
                  <w:r>
                    <w:rPr>
                      <w:rStyle w:val="8"/>
                      <w:rFonts w:hint="eastAsia" w:ascii="宋体" w:hAnsi="宋体" w:eastAsia="宋体" w:cs="宋体"/>
                      <w:b w:val="0"/>
                      <w:bCs/>
                      <w:color w:val="404040"/>
                      <w:sz w:val="24"/>
                      <w:szCs w:val="24"/>
                      <w:lang w:eastAsia="zh-CN"/>
                    </w:rPr>
                    <w:t>度</w:t>
                  </w:r>
                </w:p>
              </w:tc>
              <w:tc>
                <w:tcPr>
                  <w:tcW w:w="2087"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c>
                <w:tcPr>
                  <w:tcW w:w="2129"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val="en-US" w:eastAsia="zh-CN"/>
                    </w:rPr>
                  </w:pPr>
                  <w:r>
                    <w:rPr>
                      <w:rStyle w:val="8"/>
                      <w:rFonts w:hint="eastAsia" w:ascii="宋体" w:hAnsi="宋体" w:eastAsia="宋体" w:cs="宋体"/>
                      <w:b w:val="0"/>
                      <w:bCs/>
                      <w:color w:val="404040"/>
                      <w:sz w:val="24"/>
                      <w:szCs w:val="24"/>
                      <w:lang w:eastAsia="zh-CN"/>
                    </w:rPr>
                    <w:t>2024年</w:t>
                  </w:r>
                  <w:r>
                    <w:rPr>
                      <w:rStyle w:val="8"/>
                      <w:rFonts w:hint="default" w:ascii="宋体" w:hAnsi="宋体" w:eastAsia="宋体" w:cs="宋体"/>
                      <w:b w:val="0"/>
                      <w:bCs/>
                      <w:color w:val="404040"/>
                      <w:sz w:val="24"/>
                      <w:szCs w:val="24"/>
                      <w:lang w:val="en" w:eastAsia="zh-CN"/>
                    </w:rPr>
                    <w:t>1-3季</w:t>
                  </w:r>
                  <w:r>
                    <w:rPr>
                      <w:rStyle w:val="8"/>
                      <w:rFonts w:hint="eastAsia" w:ascii="宋体" w:hAnsi="宋体" w:eastAsia="宋体" w:cs="宋体"/>
                      <w:b w:val="0"/>
                      <w:bCs/>
                      <w:color w:val="404040"/>
                      <w:sz w:val="24"/>
                      <w:szCs w:val="24"/>
                      <w:lang w:eastAsia="zh-CN"/>
                    </w:rPr>
                    <w:t>度</w:t>
                  </w:r>
                </w:p>
              </w:tc>
              <w:tc>
                <w:tcPr>
                  <w:tcW w:w="2195" w:type="dxa"/>
                  <w:gridSpan w:val="2"/>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single" w:color="auto" w:sz="2" w:space="0"/>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b/>
                      <w:bCs/>
                      <w:color w:val="404040"/>
                      <w:sz w:val="24"/>
                      <w:szCs w:val="24"/>
                      <w:lang w:eastAsia="zh-CN"/>
                    </w:rPr>
                  </w:pPr>
                  <w:r>
                    <w:rPr>
                      <w:rStyle w:val="8"/>
                      <w:rFonts w:hint="eastAsia" w:ascii="宋体" w:hAnsi="宋体" w:eastAsia="宋体" w:cs="宋体"/>
                      <w:b/>
                      <w:bCs/>
                      <w:color w:val="404040"/>
                      <w:sz w:val="24"/>
                      <w:szCs w:val="24"/>
                    </w:rPr>
                    <w:t> </w:t>
                  </w:r>
                  <w:r>
                    <w:rPr>
                      <w:rStyle w:val="8"/>
                      <w:rFonts w:hint="eastAsia" w:ascii="宋体" w:hAnsi="宋体" w:eastAsia="宋体" w:cs="宋体"/>
                      <w:b/>
                      <w:bCs/>
                      <w:color w:val="404040"/>
                      <w:sz w:val="24"/>
                      <w:szCs w:val="24"/>
                      <w:lang w:val="en-US" w:eastAsia="zh-CN"/>
                    </w:rPr>
                    <w:t xml:space="preserve"> </w:t>
                  </w:r>
                  <w:r>
                    <w:rPr>
                      <w:rStyle w:val="8"/>
                      <w:rFonts w:hint="eastAsia" w:ascii="宋体" w:hAnsi="宋体" w:eastAsia="宋体" w:cs="宋体"/>
                      <w:b/>
                      <w:bCs/>
                      <w:color w:val="404040"/>
                      <w:sz w:val="24"/>
                      <w:szCs w:val="24"/>
                    </w:rPr>
                    <w:t>人均可支配收入</w:t>
                  </w:r>
                  <w:r>
                    <w:rPr>
                      <w:rStyle w:val="8"/>
                      <w:rFonts w:hint="eastAsia" w:ascii="宋体" w:hAnsi="宋体" w:eastAsia="宋体" w:cs="宋体"/>
                      <w:b/>
                      <w:bCs/>
                      <w:color w:val="404040"/>
                      <w:sz w:val="24"/>
                      <w:szCs w:val="24"/>
                      <w:lang w:eastAsia="zh-CN"/>
                    </w:rPr>
                    <w:t>（元）</w:t>
                  </w:r>
                </w:p>
              </w:tc>
              <w:tc>
                <w:tcPr>
                  <w:tcW w:w="2013"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37710 </w:t>
                  </w:r>
                </w:p>
              </w:tc>
              <w:tc>
                <w:tcPr>
                  <w:tcW w:w="2087"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4.7 </w:t>
                  </w:r>
                </w:p>
              </w:tc>
              <w:tc>
                <w:tcPr>
                  <w:tcW w:w="2129"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46229 </w:t>
                  </w:r>
                </w:p>
              </w:tc>
              <w:tc>
                <w:tcPr>
                  <w:tcW w:w="2195" w:type="dxa"/>
                  <w:gridSpan w:val="2"/>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工资性收入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31625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4.4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41175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经营净收入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1045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10.5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671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14.9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财产净收入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1941 </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4.4 </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2808 </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single" w:color="auto" w:sz="1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rPr>
                  </w:pPr>
                  <w:r>
                    <w:rPr>
                      <w:rFonts w:hint="eastAsia" w:ascii="宋体" w:hAnsi="宋体" w:eastAsia="宋体" w:cs="宋体"/>
                      <w:color w:val="404040"/>
                      <w:sz w:val="24"/>
                      <w:szCs w:val="24"/>
                    </w:rPr>
                    <w:t>  </w:t>
                  </w:r>
                  <w:r>
                    <w:rPr>
                      <w:rFonts w:hint="eastAsia" w:ascii="宋体" w:hAnsi="宋体" w:eastAsia="宋体" w:cs="宋体"/>
                      <w:color w:val="404040"/>
                      <w:sz w:val="24"/>
                      <w:szCs w:val="24"/>
                      <w:lang w:val="en-US" w:eastAsia="zh-CN"/>
                    </w:rPr>
                    <w:t xml:space="preserve">  </w:t>
                  </w:r>
                  <w:r>
                    <w:rPr>
                      <w:rFonts w:hint="eastAsia" w:ascii="宋体" w:hAnsi="宋体" w:eastAsia="宋体" w:cs="宋体"/>
                      <w:color w:val="404040"/>
                      <w:sz w:val="24"/>
                      <w:szCs w:val="24"/>
                    </w:rPr>
                    <w:t>转移净收入</w:t>
                  </w:r>
                </w:p>
              </w:tc>
              <w:tc>
                <w:tcPr>
                  <w:tcW w:w="2013"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3100 </w:t>
                  </w:r>
                </w:p>
              </w:tc>
              <w:tc>
                <w:tcPr>
                  <w:tcW w:w="2087"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5.9 </w:t>
                  </w:r>
                </w:p>
              </w:tc>
              <w:tc>
                <w:tcPr>
                  <w:tcW w:w="2129"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1575 </w:t>
                  </w:r>
                </w:p>
              </w:tc>
              <w:tc>
                <w:tcPr>
                  <w:tcW w:w="2195" w:type="dxa"/>
                  <w:gridSpan w:val="2"/>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 xml:space="preserve">22.6 </w:t>
                  </w:r>
                </w:p>
              </w:tc>
            </w:tr>
          </w:tbl>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5639" w:hRule="atLeast"/>
        </w:trPr>
        <w:tc>
          <w:tcPr>
            <w:tcW w:w="13236" w:type="dxa"/>
            <w:gridSpan w:val="7"/>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ascii="楷体_GB2312" w:hAnsi="宋体" w:eastAsia="楷体_GB2312" w:cs="宋体"/>
                <w:kern w:val="0"/>
                <w:sz w:val="24"/>
                <w:szCs w:val="24"/>
              </w:rPr>
            </w:pPr>
            <w:r>
              <w:rPr>
                <w:rFonts w:hint="eastAsia" w:ascii="楷体_GB2312" w:hAnsi="宋体" w:eastAsia="楷体_GB2312" w:cs="宋体"/>
                <w:kern w:val="0"/>
                <w:sz w:val="24"/>
                <w:szCs w:val="24"/>
              </w:rPr>
              <w:t>注释：</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统计范围：</w:t>
            </w:r>
            <w:r>
              <w:rPr>
                <w:rFonts w:hint="eastAsia" w:ascii="楷体_GB2312" w:hAnsi="宋体" w:eastAsia="楷体_GB2312" w:cs="宋体"/>
                <w:b w:val="0"/>
                <w:bCs/>
                <w:kern w:val="0"/>
                <w:sz w:val="24"/>
                <w:szCs w:val="24"/>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2、</w:t>
            </w:r>
            <w:r>
              <w:rPr>
                <w:rFonts w:hint="eastAsia" w:ascii="楷体_GB2312" w:hAnsi="宋体" w:eastAsia="楷体_GB2312" w:cs="宋体"/>
                <w:b/>
                <w:kern w:val="0"/>
                <w:sz w:val="24"/>
                <w:szCs w:val="24"/>
              </w:rPr>
              <w:t>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楷体_GB2312" w:hAnsi="宋体" w:eastAsia="楷体_GB2312" w:cs="宋体"/>
                <w:b w:val="0"/>
                <w:bCs/>
                <w:kern w:val="0"/>
                <w:sz w:val="24"/>
                <w:szCs w:val="24"/>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计入“非收入所得”</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转移净收入：指国家、单位、社会团体对住户的各种经常性转移支付和住户之间的经常性收入转移，在扣减调查户对国家、单位、住户或者个人的经常性或义务性转移支付后的净收入。</w:t>
            </w:r>
          </w:p>
        </w:tc>
      </w:tr>
    </w:tbl>
    <w:tbl>
      <w:tblPr>
        <w:tblStyle w:val="6"/>
        <w:tblpPr w:leftFromText="180" w:rightFromText="180" w:vertAnchor="text" w:horzAnchor="page" w:tblpX="1790" w:tblpY="296"/>
        <w:tblOverlap w:val="never"/>
        <w:tblW w:w="13600" w:type="dxa"/>
        <w:tblInd w:w="0" w:type="dxa"/>
        <w:tblLayout w:type="fixed"/>
        <w:tblCellMar>
          <w:top w:w="0" w:type="dxa"/>
          <w:left w:w="0" w:type="dxa"/>
          <w:bottom w:w="0" w:type="dxa"/>
          <w:right w:w="0" w:type="dxa"/>
        </w:tblCellMar>
      </w:tblPr>
      <w:tblGrid>
        <w:gridCol w:w="5045"/>
        <w:gridCol w:w="2194"/>
        <w:gridCol w:w="2193"/>
        <w:gridCol w:w="1974"/>
        <w:gridCol w:w="2194"/>
      </w:tblGrid>
      <w:tr>
        <w:tblPrEx>
          <w:tblCellMar>
            <w:top w:w="0" w:type="dxa"/>
            <w:left w:w="0" w:type="dxa"/>
            <w:bottom w:w="0" w:type="dxa"/>
            <w:right w:w="0" w:type="dxa"/>
          </w:tblCellMar>
        </w:tblPrEx>
        <w:trPr>
          <w:trHeight w:val="694" w:hRule="exact"/>
        </w:trPr>
        <w:tc>
          <w:tcPr>
            <w:tcW w:w="13600" w:type="dxa"/>
            <w:gridSpan w:val="5"/>
            <w:tcBorders>
              <w:top w:val="nil"/>
              <w:left w:val="nil"/>
              <w:bottom w:val="single" w:color="auto" w:sz="12" w:space="0"/>
              <w:right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color w:val="404040"/>
                <w:sz w:val="30"/>
                <w:szCs w:val="30"/>
              </w:rPr>
            </w:pPr>
            <w:r>
              <w:rPr>
                <w:rFonts w:hint="eastAsia" w:ascii="Times New Roman" w:hAnsi="Times New Roman" w:eastAsia="宋体" w:cs="Times New Roman"/>
                <w:b/>
                <w:color w:val="0000FF"/>
                <w:kern w:val="2"/>
                <w:sz w:val="36"/>
                <w:szCs w:val="36"/>
                <w:lang w:val="en-US" w:eastAsia="zh-CN" w:bidi="ar-SA"/>
              </w:rPr>
              <w:t>居民收支统计数据：2024年</w:t>
            </w:r>
            <w:r>
              <w:rPr>
                <w:rFonts w:hint="default" w:ascii="Times New Roman" w:hAnsi="Times New Roman" w:eastAsia="宋体" w:cs="Times New Roman"/>
                <w:b/>
                <w:color w:val="0000FF"/>
                <w:kern w:val="2"/>
                <w:sz w:val="36"/>
                <w:szCs w:val="36"/>
                <w:lang w:val="en" w:eastAsia="zh-CN" w:bidi="ar-SA"/>
              </w:rPr>
              <w:t>1-3季</w:t>
            </w:r>
            <w:r>
              <w:rPr>
                <w:rFonts w:hint="eastAsia" w:ascii="Times New Roman" w:hAnsi="Times New Roman" w:eastAsia="宋体" w:cs="Times New Roman"/>
                <w:b/>
                <w:color w:val="0000FF"/>
                <w:kern w:val="2"/>
                <w:sz w:val="36"/>
                <w:szCs w:val="36"/>
                <w:lang w:val="en-US" w:eastAsia="zh-CN" w:bidi="ar-SA"/>
              </w:rPr>
              <w:t>度居民人均消费支出情况</w:t>
            </w:r>
          </w:p>
        </w:tc>
      </w:tr>
      <w:tr>
        <w:tblPrEx>
          <w:tblCellMar>
            <w:top w:w="0" w:type="dxa"/>
            <w:left w:w="0" w:type="dxa"/>
            <w:bottom w:w="0" w:type="dxa"/>
            <w:right w:w="0" w:type="dxa"/>
          </w:tblCellMar>
        </w:tblPrEx>
        <w:trPr>
          <w:trHeight w:val="487" w:hRule="exact"/>
        </w:trPr>
        <w:tc>
          <w:tcPr>
            <w:tcW w:w="5045" w:type="dxa"/>
            <w:vMerge w:val="restart"/>
            <w:tcBorders>
              <w:top w:val="single" w:color="auto" w:sz="12" w:space="0"/>
              <w:left w:val="nil"/>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Fonts w:hint="eastAsia" w:ascii="宋体" w:hAnsi="宋体" w:eastAsia="宋体" w:cs="宋体"/>
                <w:sz w:val="24"/>
                <w:szCs w:val="24"/>
              </w:rPr>
            </w:pPr>
            <w:r>
              <w:rPr>
                <w:rFonts w:hint="eastAsia" w:ascii="宋体" w:hAnsi="宋体" w:eastAsia="宋体" w:cs="宋体"/>
                <w:sz w:val="24"/>
                <w:szCs w:val="24"/>
              </w:rPr>
              <w:t>指 标 名 称</w:t>
            </w:r>
          </w:p>
        </w:tc>
        <w:tc>
          <w:tcPr>
            <w:tcW w:w="4387" w:type="dxa"/>
            <w:gridSpan w:val="2"/>
            <w:tcBorders>
              <w:top w:val="single" w:color="auto" w:sz="1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全区居民</w:t>
            </w:r>
          </w:p>
        </w:tc>
        <w:tc>
          <w:tcPr>
            <w:tcW w:w="4168" w:type="dxa"/>
            <w:gridSpan w:val="2"/>
            <w:tcBorders>
              <w:top w:val="single" w:color="auto" w:sz="12" w:space="0"/>
              <w:left w:val="single" w:color="auto" w:sz="2" w:space="0"/>
              <w:bottom w:val="single" w:color="auto" w:sz="2" w:space="0"/>
              <w:right w:val="nil"/>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城镇居民</w:t>
            </w:r>
          </w:p>
        </w:tc>
      </w:tr>
      <w:tr>
        <w:tblPrEx>
          <w:tblCellMar>
            <w:top w:w="0" w:type="dxa"/>
            <w:left w:w="0" w:type="dxa"/>
            <w:bottom w:w="0" w:type="dxa"/>
            <w:right w:w="0" w:type="dxa"/>
          </w:tblCellMar>
        </w:tblPrEx>
        <w:trPr>
          <w:trHeight w:val="536" w:hRule="exact"/>
        </w:trPr>
        <w:tc>
          <w:tcPr>
            <w:tcW w:w="5045" w:type="dxa"/>
            <w:vMerge w:val="continue"/>
            <w:tcBorders>
              <w:top w:val="single" w:color="auto" w:sz="2" w:space="0"/>
              <w:left w:val="nil"/>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Fonts w:hint="eastAsia" w:ascii="宋体" w:hAnsi="宋体" w:eastAsia="宋体" w:cs="宋体"/>
                <w:sz w:val="24"/>
                <w:szCs w:val="24"/>
              </w:rPr>
            </w:pPr>
          </w:p>
        </w:tc>
        <w:tc>
          <w:tcPr>
            <w:tcW w:w="2194" w:type="dxa"/>
            <w:tcBorders>
              <w:top w:val="single" w:color="auto" w:sz="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cs="宋体"/>
                <w:b w:val="0"/>
                <w:bCs/>
                <w:color w:val="404040"/>
                <w:sz w:val="24"/>
                <w:szCs w:val="24"/>
                <w:lang w:eastAsia="zh-CN"/>
              </w:rPr>
              <w:t>2024年</w:t>
            </w:r>
            <w:r>
              <w:rPr>
                <w:rStyle w:val="8"/>
                <w:rFonts w:hint="default" w:ascii="宋体" w:hAnsi="宋体" w:cs="宋体"/>
                <w:b w:val="0"/>
                <w:bCs/>
                <w:color w:val="404040"/>
                <w:sz w:val="24"/>
                <w:szCs w:val="24"/>
                <w:lang w:val="en" w:eastAsia="zh-CN"/>
              </w:rPr>
              <w:t>1-3季</w:t>
            </w:r>
            <w:r>
              <w:rPr>
                <w:rStyle w:val="8"/>
                <w:rFonts w:hint="eastAsia" w:ascii="宋体" w:hAnsi="宋体" w:cs="宋体"/>
                <w:b w:val="0"/>
                <w:bCs/>
                <w:color w:val="404040"/>
                <w:sz w:val="24"/>
                <w:szCs w:val="24"/>
                <w:lang w:eastAsia="zh-CN"/>
              </w:rPr>
              <w:t>度</w:t>
            </w:r>
          </w:p>
        </w:tc>
        <w:tc>
          <w:tcPr>
            <w:tcW w:w="2193" w:type="dxa"/>
            <w:tcBorders>
              <w:top w:val="single" w:color="auto" w:sz="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c>
          <w:tcPr>
            <w:tcW w:w="1974" w:type="dxa"/>
            <w:tcBorders>
              <w:top w:val="single" w:color="auto" w:sz="2" w:space="0"/>
              <w:left w:val="single" w:color="auto" w:sz="2" w:space="0"/>
              <w:bottom w:val="single" w:color="auto" w:sz="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cs="宋体"/>
                <w:b w:val="0"/>
                <w:bCs/>
                <w:color w:val="404040"/>
                <w:sz w:val="24"/>
                <w:szCs w:val="24"/>
                <w:lang w:eastAsia="zh-CN"/>
              </w:rPr>
              <w:t>2024年</w:t>
            </w:r>
            <w:r>
              <w:rPr>
                <w:rStyle w:val="8"/>
                <w:rFonts w:hint="default" w:ascii="宋体" w:hAnsi="宋体" w:cs="宋体"/>
                <w:b w:val="0"/>
                <w:bCs/>
                <w:color w:val="404040"/>
                <w:sz w:val="24"/>
                <w:szCs w:val="24"/>
                <w:lang w:val="en" w:eastAsia="zh-CN"/>
              </w:rPr>
              <w:t>1-3季</w:t>
            </w:r>
            <w:r>
              <w:rPr>
                <w:rStyle w:val="8"/>
                <w:rFonts w:hint="eastAsia" w:ascii="宋体" w:hAnsi="宋体" w:cs="宋体"/>
                <w:b w:val="0"/>
                <w:bCs/>
                <w:color w:val="404040"/>
                <w:sz w:val="24"/>
                <w:szCs w:val="24"/>
                <w:lang w:eastAsia="zh-CN"/>
              </w:rPr>
              <w:t>度</w:t>
            </w:r>
          </w:p>
        </w:tc>
        <w:tc>
          <w:tcPr>
            <w:tcW w:w="2194" w:type="dxa"/>
            <w:tcBorders>
              <w:top w:val="single" w:color="auto" w:sz="2" w:space="0"/>
              <w:left w:val="single" w:color="auto" w:sz="2" w:space="0"/>
              <w:bottom w:val="single" w:color="auto" w:sz="2" w:space="0"/>
              <w:right w:val="nil"/>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jc w:val="center"/>
              <w:outlineLvl w:val="9"/>
              <w:rPr>
                <w:rStyle w:val="8"/>
                <w:rFonts w:hint="eastAsia" w:ascii="宋体" w:hAnsi="宋体" w:eastAsia="宋体" w:cs="宋体"/>
                <w:b w:val="0"/>
                <w:bCs/>
                <w:color w:val="404040"/>
                <w:sz w:val="24"/>
                <w:szCs w:val="24"/>
                <w:lang w:eastAsia="zh-CN"/>
              </w:rPr>
            </w:pPr>
            <w:r>
              <w:rPr>
                <w:rStyle w:val="8"/>
                <w:rFonts w:hint="eastAsia" w:ascii="宋体" w:hAnsi="宋体" w:eastAsia="宋体" w:cs="宋体"/>
                <w:b w:val="0"/>
                <w:bCs/>
                <w:color w:val="404040"/>
                <w:sz w:val="24"/>
                <w:szCs w:val="24"/>
                <w:lang w:eastAsia="zh-CN"/>
              </w:rPr>
              <w:t>同比增长(%)</w:t>
            </w:r>
          </w:p>
        </w:tc>
      </w:tr>
      <w:tr>
        <w:tblPrEx>
          <w:tblCellMar>
            <w:top w:w="0" w:type="dxa"/>
            <w:left w:w="0" w:type="dxa"/>
            <w:bottom w:w="0" w:type="dxa"/>
            <w:right w:w="0" w:type="dxa"/>
          </w:tblCellMar>
        </w:tblPrEx>
        <w:trPr>
          <w:trHeight w:val="413" w:hRule="exact"/>
        </w:trPr>
        <w:tc>
          <w:tcPr>
            <w:tcW w:w="5045" w:type="dxa"/>
            <w:tcBorders>
              <w:top w:val="single" w:color="auto" w:sz="2" w:space="0"/>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240" w:firstLineChars="100"/>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人均消费支出</w:t>
            </w:r>
            <w:r>
              <w:rPr>
                <w:rFonts w:hint="eastAsia" w:ascii="宋体" w:hAnsi="宋体" w:cs="宋体"/>
                <w:b/>
                <w:bCs/>
                <w:sz w:val="24"/>
                <w:szCs w:val="24"/>
                <w:lang w:eastAsia="zh-CN"/>
              </w:rPr>
              <w:t>（元）</w:t>
            </w:r>
          </w:p>
        </w:tc>
        <w:tc>
          <w:tcPr>
            <w:tcW w:w="2194" w:type="dxa"/>
            <w:tcBorders>
              <w:top w:val="single" w:color="auto" w:sz="2" w:space="0"/>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22339 </w:t>
            </w:r>
          </w:p>
        </w:tc>
        <w:tc>
          <w:tcPr>
            <w:tcW w:w="2193" w:type="dxa"/>
            <w:tcBorders>
              <w:top w:val="single" w:color="auto" w:sz="2" w:space="0"/>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2.0 </w:t>
            </w:r>
          </w:p>
        </w:tc>
        <w:tc>
          <w:tcPr>
            <w:tcW w:w="1974" w:type="dxa"/>
            <w:tcBorders>
              <w:top w:val="single" w:color="auto" w:sz="2" w:space="0"/>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26605 </w:t>
            </w:r>
          </w:p>
        </w:tc>
        <w:tc>
          <w:tcPr>
            <w:tcW w:w="2194" w:type="dxa"/>
            <w:tcBorders>
              <w:top w:val="single" w:color="auto" w:sz="2" w:space="0"/>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sz w:val="24"/>
                <w:szCs w:val="24"/>
                <w:lang w:val="en-US" w:eastAsia="zh-CN"/>
              </w:rPr>
            </w:pPr>
            <w:r>
              <w:rPr>
                <w:rFonts w:hint="eastAsia" w:ascii="宋体" w:hAnsi="宋体" w:eastAsia="宋体" w:cs="宋体"/>
                <w:b/>
                <w:i w:val="0"/>
                <w:color w:val="000000"/>
                <w:kern w:val="0"/>
                <w:sz w:val="24"/>
                <w:szCs w:val="24"/>
                <w:u w:val="none"/>
                <w:lang w:val="en-US" w:eastAsia="zh-CN" w:bidi="ar"/>
              </w:rPr>
              <w:t xml:space="preserve">3.0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食品烟酒</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5625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2.1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6311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0.4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衣着</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1061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-8.8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1340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-10.1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居住</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6174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-3.8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7511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3.9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生活用品及服务</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1196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0.3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1458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2.3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交通和通信</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3155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-3.0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3773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-5.7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教育文化娱乐</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1823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17.5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2547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19.4 </w:t>
            </w:r>
          </w:p>
        </w:tc>
      </w:tr>
      <w:tr>
        <w:tblPrEx>
          <w:tblCellMar>
            <w:top w:w="0" w:type="dxa"/>
            <w:left w:w="0" w:type="dxa"/>
            <w:bottom w:w="0" w:type="dxa"/>
            <w:right w:w="0" w:type="dxa"/>
          </w:tblCellMar>
        </w:tblPrEx>
        <w:trPr>
          <w:trHeight w:val="413" w:hRule="exact"/>
        </w:trPr>
        <w:tc>
          <w:tcPr>
            <w:tcW w:w="5045" w:type="dxa"/>
            <w:tcBorders>
              <w:top w:val="nil"/>
              <w:left w:val="nil"/>
              <w:bottom w:val="nil"/>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医疗保健</w:t>
            </w:r>
          </w:p>
        </w:tc>
        <w:tc>
          <w:tcPr>
            <w:tcW w:w="219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2669 </w:t>
            </w:r>
          </w:p>
        </w:tc>
        <w:tc>
          <w:tcPr>
            <w:tcW w:w="2193"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24.4 </w:t>
            </w:r>
          </w:p>
        </w:tc>
        <w:tc>
          <w:tcPr>
            <w:tcW w:w="1974" w:type="dxa"/>
            <w:tcBorders>
              <w:top w:val="nil"/>
              <w:left w:val="single" w:color="auto" w:sz="2" w:space="0"/>
              <w:bottom w:val="nil"/>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2814 </w:t>
            </w:r>
          </w:p>
        </w:tc>
        <w:tc>
          <w:tcPr>
            <w:tcW w:w="2194" w:type="dxa"/>
            <w:tcBorders>
              <w:top w:val="nil"/>
              <w:left w:val="single" w:color="auto" w:sz="2" w:space="0"/>
              <w:bottom w:val="nil"/>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21.3 </w:t>
            </w:r>
          </w:p>
        </w:tc>
      </w:tr>
      <w:tr>
        <w:tblPrEx>
          <w:tblCellMar>
            <w:top w:w="0" w:type="dxa"/>
            <w:left w:w="0" w:type="dxa"/>
            <w:bottom w:w="0" w:type="dxa"/>
            <w:right w:w="0" w:type="dxa"/>
          </w:tblCellMar>
        </w:tblPrEx>
        <w:trPr>
          <w:trHeight w:val="413" w:hRule="exact"/>
        </w:trPr>
        <w:tc>
          <w:tcPr>
            <w:tcW w:w="5045" w:type="dxa"/>
            <w:tcBorders>
              <w:top w:val="nil"/>
              <w:left w:val="nil"/>
              <w:bottom w:val="single" w:color="auto" w:sz="12" w:space="0"/>
              <w:right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其他用品及服务</w:t>
            </w:r>
          </w:p>
        </w:tc>
        <w:tc>
          <w:tcPr>
            <w:tcW w:w="2194" w:type="dxa"/>
            <w:tcBorders>
              <w:top w:val="nil"/>
              <w:left w:val="single" w:color="auto" w:sz="2" w:space="0"/>
              <w:bottom w:val="single" w:color="auto" w:sz="12" w:space="0"/>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636 </w:t>
            </w:r>
          </w:p>
        </w:tc>
        <w:tc>
          <w:tcPr>
            <w:tcW w:w="2193" w:type="dxa"/>
            <w:tcBorders>
              <w:top w:val="nil"/>
              <w:left w:val="single" w:color="auto" w:sz="2" w:space="0"/>
              <w:bottom w:val="single" w:color="auto" w:sz="12" w:space="0"/>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-6.1 </w:t>
            </w:r>
          </w:p>
        </w:tc>
        <w:tc>
          <w:tcPr>
            <w:tcW w:w="1974" w:type="dxa"/>
            <w:tcBorders>
              <w:top w:val="nil"/>
              <w:left w:val="single" w:color="auto" w:sz="2" w:space="0"/>
              <w:bottom w:val="single" w:color="auto" w:sz="12" w:space="0"/>
              <w:right w:val="single" w:color="auto" w:sz="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853 </w:t>
            </w:r>
          </w:p>
        </w:tc>
        <w:tc>
          <w:tcPr>
            <w:tcW w:w="2194" w:type="dxa"/>
            <w:tcBorders>
              <w:top w:val="nil"/>
              <w:left w:val="single" w:color="auto" w:sz="2" w:space="0"/>
              <w:bottom w:val="single" w:color="auto" w:sz="12" w:space="0"/>
              <w:right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xml:space="preserve">-9.5 </w:t>
            </w:r>
          </w:p>
        </w:tc>
      </w:tr>
    </w:tbl>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rPr>
      </w:pPr>
      <w:r>
        <w:rPr>
          <w:rFonts w:hint="eastAsia" w:ascii="楷体_GB2312" w:hAnsi="宋体" w:eastAsia="楷体_GB2312" w:cs="宋体"/>
          <w:kern w:val="0"/>
          <w:sz w:val="24"/>
          <w:szCs w:val="24"/>
        </w:rPr>
        <w:t>注释：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textAlignment w:val="auto"/>
        <w:rPr>
          <w:rFonts w:hint="default" w:ascii="楷体_GB2312" w:hAnsi="宋体" w:eastAsia="楷体_GB2312" w:cs="宋体"/>
          <w:b w:val="0"/>
          <w:bCs/>
          <w:kern w:val="0"/>
          <w:sz w:val="24"/>
          <w:szCs w:val="24"/>
          <w:lang w:val="en" w:eastAsia="zh-CN" w:bidi="ar-SA"/>
        </w:rPr>
      </w:pPr>
      <w:r>
        <w:rPr>
          <w:rFonts w:hint="eastAsia" w:hAnsi="宋体" w:eastAsia="楷体_GB2312" w:cs="宋体"/>
          <w:b/>
          <w:kern w:val="0"/>
          <w:sz w:val="24"/>
          <w:szCs w:val="24"/>
          <w:lang w:val="en-US" w:eastAsia="zh-CN" w:bidi="ar-SA"/>
        </w:rPr>
        <w:t>1、</w:t>
      </w:r>
      <w:r>
        <w:rPr>
          <w:rFonts w:hint="default" w:ascii="楷体_GB2312" w:hAnsi="宋体" w:eastAsia="楷体_GB2312" w:cs="宋体"/>
          <w:b/>
          <w:kern w:val="0"/>
          <w:sz w:val="24"/>
          <w:szCs w:val="24"/>
          <w:lang w:val="en" w:eastAsia="zh-CN" w:bidi="ar-SA"/>
        </w:rPr>
        <w:t>统计范围：</w:t>
      </w:r>
      <w:r>
        <w:rPr>
          <w:rFonts w:hint="default" w:ascii="楷体_GB2312" w:hAnsi="宋体" w:eastAsia="楷体_GB2312" w:cs="宋体"/>
          <w:b w:val="0"/>
          <w:bCs/>
          <w:kern w:val="0"/>
          <w:sz w:val="24"/>
          <w:szCs w:val="24"/>
          <w:lang w:val="en" w:eastAsia="zh-CN" w:bidi="ar-SA"/>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textAlignment w:val="auto"/>
        <w:rPr>
          <w:rFonts w:hint="default" w:ascii="楷体_GB2312" w:hAnsi="宋体" w:eastAsia="楷体_GB2312" w:cs="宋体"/>
          <w:b w:val="0"/>
          <w:bCs/>
          <w:kern w:val="0"/>
          <w:sz w:val="24"/>
          <w:szCs w:val="24"/>
          <w:lang w:val="en" w:eastAsia="zh-CN" w:bidi="ar-SA"/>
        </w:rPr>
      </w:pPr>
      <w:r>
        <w:rPr>
          <w:rFonts w:hint="default" w:ascii="楷体_GB2312" w:hAnsi="宋体" w:eastAsia="楷体_GB2312" w:cs="宋体"/>
          <w:b w:val="0"/>
          <w:bCs/>
          <w:kern w:val="0"/>
          <w:sz w:val="24"/>
          <w:szCs w:val="24"/>
          <w:lang w:val="en" w:eastAsia="zh-CN" w:bidi="ar-SA"/>
        </w:rPr>
        <w:t>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rPr>
        <w:t>2、采集渠道：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kinsoku/>
        <w:wordWrap/>
        <w:overflowPunct/>
        <w:topLinePunct w:val="0"/>
        <w:autoSpaceDE/>
        <w:autoSpaceDN/>
        <w:bidi w:val="0"/>
        <w:adjustRightInd w:val="0"/>
        <w:snapToGrid w:val="0"/>
        <w:jc w:val="left"/>
        <w:outlineLvl w:val="9"/>
        <w:rPr>
          <w:rFonts w:hint="eastAsia"/>
          <w:b/>
          <w:color w:val="0000FF"/>
          <w:sz w:val="24"/>
          <w:szCs w:val="24"/>
          <w:lang w:eastAsia="zh-CN"/>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消费支出：指住户用于满足家庭日常生活消费需要的全部支出，包括用于消费品的支出和用于服务性消费的支出。根据用途不同，消费支出可划分为食品烟酒、衣着、居住、生活用品及服务、交通通信、教育文化娱乐、医疗保健、其他用品及服务八大类。食品烟酒：指用于各种食品和烟草、酒类的支出。衣着：指与居民穿着有关的支出，包括服装、服装材料、鞋类、其他衣类及配件、衣着相关加工服务的支出。居住：指与居住相关的支出，包括房租、水、电、燃料、物业管理等方面的支出，也包括自有住房折算租金。生活用品及服务：指家庭及个人的各类生活品及家庭服务。包括家具及室内装饰品、家用器具、家用纺织品、家庭日用杂品、个人用品和家庭服务。交通通信：指用于交通和通信工具及相关的各种服务费、维修费和车辆保险等支出。教育文化娱乐：指用于教育和文化娱乐方面的支出。医疗保健：指用于医疗和保健的药品、用品和服务的总费用。包括医疗器具及药品，以及医疗服务。其他用品及服务：指无法直接归入上述各类支出的其他用品和服务支出。</w:t>
      </w: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58446"/>
    <w:multiLevelType w:val="singleLevel"/>
    <w:tmpl w:val="166584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D5F0FB0"/>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ADF51BC"/>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E10C8"/>
    <w:rsid w:val="401D61C0"/>
    <w:rsid w:val="414B607C"/>
    <w:rsid w:val="41A3549E"/>
    <w:rsid w:val="426042E3"/>
    <w:rsid w:val="42D90AF2"/>
    <w:rsid w:val="440C601A"/>
    <w:rsid w:val="441A04D4"/>
    <w:rsid w:val="46216826"/>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5F8F6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71080D89"/>
    <w:rsid w:val="7175080B"/>
    <w:rsid w:val="7186F4B4"/>
    <w:rsid w:val="726A1098"/>
    <w:rsid w:val="737B2704"/>
    <w:rsid w:val="73A6F0C8"/>
    <w:rsid w:val="73CC0211"/>
    <w:rsid w:val="73EFABBB"/>
    <w:rsid w:val="741F23A4"/>
    <w:rsid w:val="74501C96"/>
    <w:rsid w:val="75E61BEE"/>
    <w:rsid w:val="75EE766E"/>
    <w:rsid w:val="75F745C8"/>
    <w:rsid w:val="7607511D"/>
    <w:rsid w:val="765833C3"/>
    <w:rsid w:val="77166765"/>
    <w:rsid w:val="7720627A"/>
    <w:rsid w:val="778962BC"/>
    <w:rsid w:val="779A77AC"/>
    <w:rsid w:val="77E9D9C2"/>
    <w:rsid w:val="77F30C7B"/>
    <w:rsid w:val="78B553DE"/>
    <w:rsid w:val="78E85C94"/>
    <w:rsid w:val="7917ABEF"/>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F1879BC"/>
    <w:rsid w:val="7F3A5975"/>
    <w:rsid w:val="7FE5E5AE"/>
    <w:rsid w:val="7FED97DC"/>
    <w:rsid w:val="81EB3C3A"/>
    <w:rsid w:val="8CDA845A"/>
    <w:rsid w:val="99B77EE0"/>
    <w:rsid w:val="9FED37BA"/>
    <w:rsid w:val="B1E636EE"/>
    <w:rsid w:val="BDF6F2E2"/>
    <w:rsid w:val="BF2AB5D2"/>
    <w:rsid w:val="BF69E885"/>
    <w:rsid w:val="BFB650B6"/>
    <w:rsid w:val="C6FCE371"/>
    <w:rsid w:val="CD3B0D55"/>
    <w:rsid w:val="CEE987AF"/>
    <w:rsid w:val="D57D44D0"/>
    <w:rsid w:val="D7EE2A06"/>
    <w:rsid w:val="DBB74874"/>
    <w:rsid w:val="DDF6AF67"/>
    <w:rsid w:val="DF7BDF92"/>
    <w:rsid w:val="DF8DE048"/>
    <w:rsid w:val="DFAB23FE"/>
    <w:rsid w:val="DFBFE4DB"/>
    <w:rsid w:val="DFFB9D36"/>
    <w:rsid w:val="E7F7B4E4"/>
    <w:rsid w:val="E7FDA2F2"/>
    <w:rsid w:val="EA6790F0"/>
    <w:rsid w:val="EBF5BF5A"/>
    <w:rsid w:val="EDFE27A9"/>
    <w:rsid w:val="EEFF3E89"/>
    <w:rsid w:val="EF7D7BB4"/>
    <w:rsid w:val="F047853D"/>
    <w:rsid w:val="F2ECBDBB"/>
    <w:rsid w:val="F5FF6C02"/>
    <w:rsid w:val="F69F3012"/>
    <w:rsid w:val="F6FE7D1F"/>
    <w:rsid w:val="F7BFE11D"/>
    <w:rsid w:val="FBDF6E2B"/>
    <w:rsid w:val="FE3F8DB9"/>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2020-08-09T09:20:00Z</dcterms:created>
  <dc:creator>NTKO</dc:creator>
  <cp:lastModifiedBy>zhk</cp:lastModifiedBy>
  <cp:lastPrinted>2024-07-31T02:28:00Z</cp:lastPrinted>
  <dcterms:modified xsi:type="dcterms:W3CDTF">2024-10-30T10:23:43Z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