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bookmarkStart w:id="0" w:name="_GoBack"/>
      <w:r>
        <w:rPr>
          <w:rFonts w:hint="eastAsia"/>
          <w:b/>
          <w:color w:val="0000FF"/>
          <w:sz w:val="36"/>
          <w:szCs w:val="36"/>
          <w:highlight w:val="none"/>
          <w:lang w:eastAsia="zh-CN"/>
        </w:rPr>
        <w:t>工业统计数据：2024年</w:t>
      </w:r>
      <w:r>
        <w:rPr>
          <w:rFonts w:hint="default"/>
          <w:b/>
          <w:color w:val="0000FF"/>
          <w:sz w:val="36"/>
          <w:szCs w:val="36"/>
          <w:highlight w:val="none"/>
          <w:lang w:val="en" w:eastAsia="zh-CN"/>
        </w:rPr>
        <w:t>1-9月</w:t>
      </w:r>
      <w:r>
        <w:rPr>
          <w:rFonts w:hint="eastAsia"/>
          <w:b/>
          <w:color w:val="0000FF"/>
          <w:sz w:val="36"/>
          <w:szCs w:val="36"/>
          <w:highlight w:val="none"/>
        </w:rPr>
        <w:t>规模以上工业生产、销售情况</w:t>
      </w:r>
    </w:p>
    <w:bookmarkEnd w:id="0"/>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500"/>
        <w:gridCol w:w="1717"/>
        <w:gridCol w:w="1417"/>
        <w:gridCol w:w="1833"/>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500"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134"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82"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500"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717"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lang w:eastAsia="zh-CN"/>
              </w:rPr>
              <w:t>2024年</w:t>
            </w:r>
            <w:r>
              <w:rPr>
                <w:rFonts w:hint="default" w:ascii="宋体" w:hAnsi="宋体" w:cs="宋体"/>
                <w:kern w:val="0"/>
                <w:sz w:val="24"/>
                <w:lang w:val="en" w:eastAsia="zh-CN"/>
              </w:rPr>
              <w:t>1-9月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417"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833"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lang w:eastAsia="zh-CN"/>
              </w:rPr>
              <w:t>2024年</w:t>
            </w:r>
            <w:r>
              <w:rPr>
                <w:rFonts w:hint="default" w:ascii="宋体" w:hAnsi="宋体" w:cs="宋体"/>
                <w:kern w:val="0"/>
                <w:sz w:val="24"/>
                <w:lang w:val="en" w:eastAsia="zh-CN"/>
              </w:rPr>
              <w:t>1-9月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717"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1554625 </w:t>
            </w:r>
          </w:p>
        </w:tc>
        <w:tc>
          <w:tcPr>
            <w:tcW w:w="1417"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-8.0 </w:t>
            </w:r>
          </w:p>
        </w:tc>
        <w:tc>
          <w:tcPr>
            <w:tcW w:w="1833"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1510198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-7.8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11215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-47.4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9766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-52.2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10238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10331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276174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-4.6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260066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23401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-19.1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23200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45549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5.4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46752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10218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6.3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10791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294012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-8.4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291935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39659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-26.9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43153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31282 </w:t>
            </w:r>
          </w:p>
        </w:tc>
        <w:tc>
          <w:tcPr>
            <w:tcW w:w="1417"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 </w:t>
            </w:r>
          </w:p>
        </w:tc>
        <w:tc>
          <w:tcPr>
            <w:tcW w:w="1833"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31367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111307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-22.5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106337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107085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11.1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102146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331542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-15.8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324675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129641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9.9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115933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717"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34747 </w:t>
            </w:r>
          </w:p>
        </w:tc>
        <w:tc>
          <w:tcPr>
            <w:tcW w:w="1417"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7.5 </w:t>
            </w:r>
          </w:p>
        </w:tc>
        <w:tc>
          <w:tcPr>
            <w:tcW w:w="1833"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34641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8.3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2011年起，规模以上工业企业调整为年主营业务收入2000万元及以上的法人工业企业。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数据采集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规模以上工业总产值是</w:t>
            </w:r>
            <w:r>
              <w:rPr>
                <w:rFonts w:hint="eastAsia" w:ascii="楷体_GB2312" w:eastAsia="楷体_GB2312"/>
                <w:color w:val="000000"/>
                <w:sz w:val="24"/>
              </w:rPr>
              <w:t>指规模以上工业企业在一定时期内生产的以货币形式表现的工业最终产品和提供劳务活动的总价值量，包括生产的成品价值、对外加工费收入、自制半成品在制品期末期初差额价值三</w:t>
            </w:r>
            <w:r>
              <w:rPr>
                <w:rFonts w:hint="eastAsia" w:ascii="楷体_GB2312" w:eastAsia="楷体_GB2312"/>
                <w:bCs/>
                <w:color w:val="000000"/>
                <w:sz w:val="24"/>
              </w:rPr>
              <w:t>部分。工业销售产值指以货币形式表现的，工业企业在报告期内销售的本企业生产的工业产品或提供工业性劳务价值的总价值量。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r>
        <w:rPr>
          <w:rFonts w:hint="eastAsia"/>
          <w:b/>
          <w:color w:val="0000FF"/>
          <w:sz w:val="36"/>
          <w:szCs w:val="36"/>
          <w:lang w:eastAsia="zh-CN"/>
        </w:rPr>
        <w:t>批发零售、住宿餐饮统计数据：2024年</w:t>
      </w:r>
      <w:r>
        <w:rPr>
          <w:rFonts w:hint="default"/>
          <w:b/>
          <w:color w:val="0000FF"/>
          <w:sz w:val="36"/>
          <w:szCs w:val="36"/>
          <w:lang w:val="en" w:eastAsia="zh-CN"/>
        </w:rPr>
        <w:t>1-9月</w:t>
      </w:r>
      <w:r>
        <w:rPr>
          <w:rFonts w:hint="eastAsia"/>
          <w:b/>
          <w:color w:val="0000FF"/>
          <w:sz w:val="36"/>
          <w:szCs w:val="36"/>
        </w:rPr>
        <w:t>社会消费品零售总额情况</w:t>
      </w:r>
    </w:p>
    <w:tbl>
      <w:tblPr>
        <w:tblStyle w:val="6"/>
        <w:tblW w:w="11820" w:type="dxa"/>
        <w:tblInd w:w="567" w:type="dxa"/>
        <w:tblLayout w:type="fixed"/>
        <w:tblCellMar>
          <w:top w:w="0" w:type="dxa"/>
          <w:left w:w="108" w:type="dxa"/>
          <w:bottom w:w="0" w:type="dxa"/>
          <w:right w:w="108" w:type="dxa"/>
        </w:tblCellMar>
      </w:tblPr>
      <w:tblGrid>
        <w:gridCol w:w="4852"/>
        <w:gridCol w:w="3414"/>
        <w:gridCol w:w="3554"/>
      </w:tblGrid>
      <w:tr>
        <w:tblPrEx>
          <w:tblCellMar>
            <w:top w:w="0" w:type="dxa"/>
            <w:left w:w="108" w:type="dxa"/>
            <w:bottom w:w="0" w:type="dxa"/>
            <w:right w:w="108" w:type="dxa"/>
          </w:tblCellMar>
        </w:tblPrEx>
        <w:trPr>
          <w:trHeight w:val="344" w:hRule="atLeast"/>
        </w:trPr>
        <w:tc>
          <w:tcPr>
            <w:tcW w:w="485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341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宋体" w:hAnsi="宋体" w:cs="宋体"/>
                <w:kern w:val="0"/>
                <w:sz w:val="24"/>
                <w:lang w:val="en" w:eastAsia="zh-CN"/>
              </w:rPr>
            </w:pPr>
            <w:r>
              <w:rPr>
                <w:rFonts w:hint="eastAsia" w:ascii="宋体" w:hAnsi="宋体" w:cs="宋体"/>
                <w:kern w:val="0"/>
                <w:sz w:val="24"/>
                <w:lang w:eastAsia="zh-CN"/>
              </w:rPr>
              <w:t>2024年</w:t>
            </w:r>
            <w:r>
              <w:rPr>
                <w:rFonts w:hint="default" w:ascii="宋体" w:hAnsi="宋体" w:cs="宋体"/>
                <w:kern w:val="0"/>
                <w:sz w:val="24"/>
                <w:lang w:val="en" w:eastAsia="zh-CN"/>
              </w:rPr>
              <w:t>1-9月</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lang w:eastAsia="zh-CN"/>
              </w:rPr>
            </w:pPr>
            <w:r>
              <w:rPr>
                <w:rFonts w:hint="eastAsia" w:ascii="宋体" w:hAnsi="宋体" w:cs="宋体"/>
                <w:color w:val="000000"/>
                <w:kern w:val="0"/>
                <w:sz w:val="24"/>
              </w:rPr>
              <w:t>(万元)</w:t>
            </w:r>
          </w:p>
        </w:tc>
        <w:tc>
          <w:tcPr>
            <w:tcW w:w="355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社会消费品零售总额</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24"/>
                <w:szCs w:val="24"/>
                <w:u w:val="none"/>
                <w:lang w:val="en-US" w:eastAsia="zh-CN" w:bidi="ar"/>
              </w:rPr>
              <w:t>1246125</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24"/>
                <w:szCs w:val="24"/>
                <w:u w:val="none"/>
                <w:lang w:val="en-US" w:eastAsia="zh-CN" w:bidi="ar"/>
              </w:rPr>
              <w:t xml:space="preserve">-6.3 </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按消费形态分</w:t>
            </w:r>
          </w:p>
        </w:tc>
        <w:tc>
          <w:tcPr>
            <w:tcW w:w="341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sz w:val="24"/>
                <w:szCs w:val="24"/>
              </w:rPr>
            </w:pPr>
          </w:p>
        </w:tc>
        <w:tc>
          <w:tcPr>
            <w:tcW w:w="355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商品零售</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1163270</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 xml:space="preserve">-6.2 </w:t>
            </w:r>
          </w:p>
        </w:tc>
      </w:tr>
      <w:tr>
        <w:tblPrEx>
          <w:tblCellMar>
            <w:top w:w="0" w:type="dxa"/>
            <w:left w:w="108" w:type="dxa"/>
            <w:bottom w:w="0" w:type="dxa"/>
            <w:right w:w="108" w:type="dxa"/>
          </w:tblCellMar>
        </w:tblPrEx>
        <w:trPr>
          <w:trHeight w:val="397" w:hRule="atLeast"/>
        </w:trPr>
        <w:tc>
          <w:tcPr>
            <w:tcW w:w="4852"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餐饮收入</w:t>
            </w:r>
          </w:p>
        </w:tc>
        <w:tc>
          <w:tcPr>
            <w:tcW w:w="3414"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82855</w:t>
            </w:r>
          </w:p>
        </w:tc>
        <w:tc>
          <w:tcPr>
            <w:tcW w:w="3554"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 xml:space="preserve">-8.6 </w:t>
            </w:r>
          </w:p>
        </w:tc>
      </w:tr>
      <w:tr>
        <w:tblPrEx>
          <w:tblCellMar>
            <w:top w:w="0" w:type="dxa"/>
            <w:left w:w="108" w:type="dxa"/>
            <w:bottom w:w="0" w:type="dxa"/>
            <w:right w:w="108" w:type="dxa"/>
          </w:tblCellMar>
        </w:tblPrEx>
        <w:trPr>
          <w:trHeight w:val="1958" w:hRule="atLeast"/>
        </w:trPr>
        <w:tc>
          <w:tcPr>
            <w:tcW w:w="11820" w:type="dxa"/>
            <w:gridSpan w:val="3"/>
            <w:tcBorders>
              <w:top w:val="single" w:color="auto" w:sz="8" w:space="0"/>
              <w:left w:val="nil"/>
            </w:tcBorders>
            <w:vAlign w:val="center"/>
          </w:tcPr>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1</w:t>
            </w:r>
            <w:r>
              <w:rPr>
                <w:rFonts w:hint="eastAsia" w:ascii="楷体_GB2312" w:hAnsi="宋体" w:eastAsia="楷体_GB2312" w:cs="宋体"/>
                <w:b/>
                <w:bCs/>
                <w:color w:val="auto"/>
                <w:kern w:val="0"/>
                <w:sz w:val="24"/>
              </w:rPr>
              <w:t>、统计范围：</w:t>
            </w:r>
            <w:r>
              <w:rPr>
                <w:rFonts w:hint="eastAsia" w:ascii="楷体_GB2312" w:hAnsi="宋体" w:eastAsia="楷体_GB2312" w:cs="宋体"/>
                <w:color w:val="auto"/>
                <w:kern w:val="0"/>
                <w:sz w:val="24"/>
              </w:rPr>
              <w:t>本区地域内有消费品零售业务活动以及提供餐饮服务活动的法人单位、产业活动单位和个体经营户。</w:t>
            </w:r>
            <w:r>
              <w:rPr>
                <w:rFonts w:hint="eastAsia" w:ascii="楷体_GB2312" w:hAnsi="宋体" w:eastAsia="楷体_GB2312" w:cs="宋体"/>
                <w:color w:val="auto"/>
                <w:kern w:val="0"/>
                <w:sz w:val="24"/>
              </w:rPr>
              <w:br w:type="textWrapping"/>
            </w:r>
            <w:r>
              <w:rPr>
                <w:rFonts w:hint="eastAsia" w:ascii="楷体_GB2312" w:hAnsi="宋体" w:eastAsia="楷体_GB2312" w:cs="宋体"/>
                <w:b/>
                <w:bCs/>
                <w:color w:val="auto"/>
                <w:kern w:val="0"/>
                <w:sz w:val="24"/>
                <w:lang w:val="en-US" w:eastAsia="zh-CN"/>
              </w:rPr>
              <w:t>2</w:t>
            </w:r>
            <w:r>
              <w:rPr>
                <w:rFonts w:hint="eastAsia" w:ascii="楷体_GB2312" w:hAnsi="宋体" w:eastAsia="楷体_GB2312" w:cs="宋体"/>
                <w:b/>
                <w:bCs/>
                <w:color w:val="auto"/>
                <w:kern w:val="0"/>
                <w:sz w:val="24"/>
              </w:rPr>
              <w:t>、采集渠道：</w:t>
            </w:r>
            <w:r>
              <w:rPr>
                <w:rFonts w:hint="eastAsia" w:ascii="楷体_GB2312" w:hAnsi="宋体" w:eastAsia="楷体_GB2312" w:cs="宋体"/>
                <w:color w:val="auto"/>
                <w:kern w:val="0"/>
                <w:sz w:val="24"/>
              </w:rPr>
              <w:t>按照《批发和零售业统计报表制度》、《住宿和餐饮业统计报表制度》要求: ①限额以上批发和零售业、住宿和餐饮业法人单位、产业活动单位和个体经营户[1]通过联网直报系统上报统计数据；②限额以下批发和零售业、住宿和餐饮业法人单位、产业活动单位和个体经营户通过抽样调查获取数据，</w:t>
            </w:r>
            <w:r>
              <w:rPr>
                <w:rFonts w:hint="eastAsia" w:ascii="楷体_GB2312" w:hAnsi="宋体" w:eastAsia="楷体_GB2312" w:cs="宋体"/>
                <w:color w:val="auto"/>
                <w:kern w:val="0"/>
                <w:sz w:val="24"/>
                <w:lang w:eastAsia="zh-CN"/>
              </w:rPr>
              <w:t>进而</w:t>
            </w:r>
            <w:r>
              <w:rPr>
                <w:rFonts w:hint="eastAsia" w:ascii="楷体_GB2312" w:hAnsi="宋体" w:eastAsia="楷体_GB2312" w:cs="宋体"/>
                <w:color w:val="auto"/>
                <w:kern w:val="0"/>
                <w:sz w:val="24"/>
              </w:rPr>
              <w:t>推算总体。</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3</w:t>
            </w:r>
            <w:r>
              <w:rPr>
                <w:rFonts w:hint="eastAsia" w:ascii="楷体_GB2312" w:hAnsi="宋体" w:eastAsia="楷体_GB2312" w:cs="宋体"/>
                <w:b/>
                <w:bCs/>
                <w:color w:val="auto"/>
                <w:kern w:val="0"/>
                <w:sz w:val="24"/>
              </w:rPr>
              <w:t>、主要统计指标解释：</w:t>
            </w:r>
            <w:r>
              <w:rPr>
                <w:rFonts w:hint="eastAsia" w:ascii="楷体_GB2312" w:hAnsi="宋体" w:eastAsia="楷体_GB2312" w:cs="宋体"/>
                <w:color w:val="auto"/>
                <w:kern w:val="0"/>
                <w:sz w:val="24"/>
              </w:rPr>
              <w:t>社会消费品零售总额：指企业（单位、个体户）通过交易直接售给个人、社会集团用于非生产、非经营用的实物商品金额，以及提供餐饮服务所取得的收入金额。</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default" w:ascii="楷体_GB2312" w:hAnsi="宋体" w:eastAsia="楷体_GB2312" w:cs="宋体"/>
                <w:color w:val="auto"/>
                <w:kern w:val="0"/>
                <w:sz w:val="24"/>
              </w:rPr>
            </w:pPr>
            <w:r>
              <w:rPr>
                <w:rFonts w:hint="eastAsia" w:ascii="楷体_GB2312" w:hAnsi="宋体" w:eastAsia="楷体_GB2312" w:cs="宋体"/>
                <w:color w:val="auto"/>
                <w:kern w:val="0"/>
                <w:sz w:val="24"/>
              </w:rPr>
              <w:t>[1]</w:t>
            </w:r>
            <w:r>
              <w:rPr>
                <w:rFonts w:hint="default" w:ascii="楷体_GB2312" w:hAnsi="宋体" w:eastAsia="楷体_GB2312" w:cs="宋体"/>
                <w:color w:val="auto"/>
                <w:kern w:val="0"/>
                <w:sz w:val="24"/>
              </w:rPr>
              <w:t>批发和零售业、住宿和餐饮业统计限额标准：①批发业：年主营业务收入2000万元及以上；②零售业：年主营业务收入500万元及以上；③住宿业：年主营业务收入200万元及以上；④餐饮业：年主营业务收入200万元及以上。</w:t>
            </w:r>
          </w:p>
          <w:p>
            <w:pPr>
              <w:keepNext w:val="0"/>
              <w:keepLines w:val="0"/>
              <w:pageBreakBefore w:val="0"/>
              <w:kinsoku/>
              <w:wordWrap/>
              <w:overflowPunct/>
              <w:topLinePunct w:val="0"/>
              <w:autoSpaceDE/>
              <w:autoSpaceDN/>
              <w:bidi w:val="0"/>
              <w:adjustRightInd w:val="0"/>
              <w:snapToGrid w:val="0"/>
            </w:pPr>
          </w:p>
          <w:p>
            <w:pPr>
              <w:keepNext w:val="0"/>
              <w:keepLines w:val="0"/>
              <w:pageBreakBefore w:val="0"/>
              <w:numPr>
                <w:ilvl w:val="0"/>
                <w:numId w:val="0"/>
              </w:numPr>
              <w:kinsoku/>
              <w:wordWrap/>
              <w:overflowPunct/>
              <w:topLinePunct w:val="0"/>
              <w:autoSpaceDE/>
              <w:autoSpaceDN/>
              <w:bidi w:val="0"/>
              <w:adjustRightInd w:val="0"/>
              <w:snapToGrid w:val="0"/>
              <w:jc w:val="left"/>
              <w:rPr>
                <w:rFonts w:hint="eastAsia" w:ascii="楷体_GB2312" w:hAnsi="宋体" w:eastAsia="楷体_GB2312" w:cs="宋体"/>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eastAsia="zh-CN"/>
        </w:rPr>
      </w:pPr>
      <w:r>
        <w:rPr>
          <w:rFonts w:hint="eastAsia"/>
          <w:b/>
          <w:color w:val="0000FF"/>
          <w:sz w:val="36"/>
          <w:szCs w:val="36"/>
          <w:highlight w:val="none"/>
          <w:lang w:val="en-US" w:eastAsia="zh-CN"/>
        </w:rPr>
        <w:t>GDP核算数据：</w:t>
      </w:r>
      <w:r>
        <w:rPr>
          <w:rFonts w:hint="eastAsia"/>
          <w:b/>
          <w:color w:val="0000FF"/>
          <w:sz w:val="36"/>
          <w:szCs w:val="36"/>
          <w:highlight w:val="none"/>
          <w:lang w:eastAsia="zh-CN"/>
        </w:rPr>
        <w:t>2024年</w:t>
      </w:r>
      <w:r>
        <w:rPr>
          <w:rFonts w:hint="default"/>
          <w:b/>
          <w:color w:val="0000FF"/>
          <w:sz w:val="36"/>
          <w:szCs w:val="36"/>
          <w:highlight w:val="none"/>
          <w:lang w:val="en" w:eastAsia="zh-CN"/>
        </w:rPr>
        <w:t>1-3季</w:t>
      </w:r>
      <w:r>
        <w:rPr>
          <w:rFonts w:hint="eastAsia"/>
          <w:b/>
          <w:color w:val="0000FF"/>
          <w:sz w:val="36"/>
          <w:szCs w:val="36"/>
          <w:highlight w:val="none"/>
          <w:lang w:eastAsia="zh-CN"/>
        </w:rPr>
        <w:t>度</w:t>
      </w:r>
      <w:r>
        <w:rPr>
          <w:rFonts w:hint="eastAsia"/>
          <w:b/>
          <w:color w:val="0000FF"/>
          <w:sz w:val="36"/>
          <w:szCs w:val="36"/>
          <w:highlight w:val="none"/>
        </w:rPr>
        <w:t>地区生产总值</w:t>
      </w:r>
      <w:r>
        <w:rPr>
          <w:rFonts w:hint="eastAsia"/>
          <w:b/>
          <w:color w:val="0000FF"/>
          <w:sz w:val="36"/>
          <w:szCs w:val="36"/>
          <w:highlight w:val="none"/>
          <w:lang w:eastAsia="zh-CN"/>
        </w:rPr>
        <w:t>情况</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108"/>
        <w:gridCol w:w="3535"/>
        <w:gridCol w:w="3466"/>
        <w:gridCol w:w="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715" w:hRule="atLeast"/>
        </w:trPr>
        <w:tc>
          <w:tcPr>
            <w:tcW w:w="2302" w:type="pct"/>
            <w:tcBorders>
              <w:top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项  目</w:t>
            </w:r>
          </w:p>
        </w:tc>
        <w:tc>
          <w:tcPr>
            <w:tcW w:w="1332" w:type="pct"/>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lang w:eastAsia="zh-CN"/>
              </w:rPr>
              <w:t>2024年</w:t>
            </w:r>
            <w:r>
              <w:rPr>
                <w:rFonts w:hint="default" w:ascii="宋体" w:hAnsi="宋体" w:cs="宋体"/>
                <w:kern w:val="0"/>
                <w:sz w:val="24"/>
                <w:lang w:val="en" w:eastAsia="zh-CN"/>
              </w:rPr>
              <w:t>1-3季</w:t>
            </w:r>
            <w:r>
              <w:rPr>
                <w:rFonts w:hint="eastAsia" w:ascii="宋体" w:hAnsi="宋体" w:cs="宋体"/>
                <w:kern w:val="0"/>
                <w:sz w:val="24"/>
                <w:lang w:eastAsia="zh-CN"/>
              </w:rPr>
              <w:t>度</w:t>
            </w:r>
          </w:p>
        </w:tc>
        <w:tc>
          <w:tcPr>
            <w:tcW w:w="1306" w:type="pct"/>
            <w:tcBorders>
              <w:top w:val="single" w:color="000000" w:sz="12"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同比增长（%）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single" w:color="000000" w:sz="4" w:space="0"/>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地区生产总值（万元）</w:t>
            </w:r>
          </w:p>
        </w:tc>
        <w:tc>
          <w:tcPr>
            <w:tcW w:w="3535" w:type="dxa"/>
            <w:tcBorders>
              <w:top w:val="single" w:color="000000" w:sz="4" w:space="0"/>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2764329 </w:t>
            </w:r>
          </w:p>
        </w:tc>
        <w:tc>
          <w:tcPr>
            <w:tcW w:w="3466" w:type="dxa"/>
            <w:tcBorders>
              <w:top w:val="single" w:color="000000" w:sz="4" w:space="0"/>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按产业分</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kern w:val="0"/>
                <w:sz w:val="24"/>
                <w:szCs w:val="24"/>
              </w:rPr>
            </w:pPr>
          </w:p>
        </w:tc>
        <w:tc>
          <w:tcPr>
            <w:tcW w:w="3466" w:type="dxa"/>
            <w:tcBorders>
              <w:top w:val="nil"/>
              <w:left w:val="single" w:color="000000" w:sz="6" w:space="0"/>
              <w:bottom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第一产业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 xml:space="preserve">75142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第二产业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 xml:space="preserve">674452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 xml:space="preserve">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第三产业</w:t>
            </w:r>
          </w:p>
        </w:tc>
        <w:tc>
          <w:tcPr>
            <w:tcW w:w="3535" w:type="dxa"/>
            <w:tcBorders>
              <w:top w:val="nil"/>
              <w:left w:val="single" w:color="000000" w:sz="6" w:space="0"/>
              <w:bottom w:val="single" w:color="000000" w:sz="12"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 xml:space="preserve">2014735 </w:t>
            </w:r>
          </w:p>
        </w:tc>
        <w:tc>
          <w:tcPr>
            <w:tcW w:w="3466" w:type="dxa"/>
            <w:tcBorders>
              <w:top w:val="nil"/>
              <w:left w:val="single" w:color="000000" w:sz="6" w:space="0"/>
              <w:bottom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 xml:space="preserve">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00" w:type="pct"/>
            <w:gridSpan w:val="4"/>
            <w:tcBorders>
              <w:top w:val="single" w:color="000000" w:sz="12" w:space="0"/>
              <w:bottom w:val="nil"/>
            </w:tcBorders>
            <w:vAlign w:val="center"/>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b w:val="0"/>
                <w:bCs w:val="0"/>
              </w:rPr>
            </w:pPr>
            <w:r>
              <w:rPr>
                <w:rFonts w:hint="eastAsia" w:ascii="楷体_GB2312" w:hAnsi="宋体" w:eastAsia="楷体_GB2312" w:cs="宋体"/>
                <w:b/>
                <w:bCs/>
                <w:sz w:val="24"/>
              </w:rPr>
              <w:t>1、统计范围：</w:t>
            </w:r>
            <w:r>
              <w:rPr>
                <w:rFonts w:hint="eastAsia" w:ascii="楷体_GB2312" w:hAnsi="宋体" w:eastAsia="楷体_GB2312" w:cs="宋体"/>
                <w:b w:val="0"/>
                <w:bCs w:val="0"/>
                <w:sz w:val="24"/>
              </w:rPr>
              <w:t>所有在</w:t>
            </w:r>
            <w:r>
              <w:rPr>
                <w:rFonts w:hint="eastAsia" w:ascii="楷体_GB2312" w:hAnsi="宋体" w:eastAsia="楷体_GB2312" w:cs="宋体"/>
                <w:b w:val="0"/>
                <w:bCs w:val="0"/>
                <w:sz w:val="24"/>
                <w:lang w:eastAsia="zh-CN"/>
              </w:rPr>
              <w:t>我国（地区）</w:t>
            </w:r>
            <w:r>
              <w:rPr>
                <w:rFonts w:hint="eastAsia" w:ascii="楷体_GB2312" w:hAnsi="宋体" w:eastAsia="楷体_GB2312" w:cs="宋体"/>
                <w:b w:val="0"/>
                <w:bCs w:val="0"/>
                <w:sz w:val="24"/>
              </w:rPr>
              <w:t>经济领土内部具有经济利益</w:t>
            </w:r>
            <w:r>
              <w:rPr>
                <w:rFonts w:hint="eastAsia" w:ascii="楷体_GB2312" w:hAnsi="宋体" w:eastAsia="楷体_GB2312" w:cs="宋体"/>
                <w:b w:val="0"/>
                <w:bCs w:val="0"/>
                <w:sz w:val="24"/>
                <w:highlight w:val="none"/>
              </w:rPr>
              <w:t>中心的经济单位都应该纳入地</w:t>
            </w:r>
            <w:r>
              <w:rPr>
                <w:rFonts w:hint="eastAsia" w:ascii="楷体_GB2312" w:hAnsi="宋体" w:eastAsia="楷体_GB2312" w:cs="宋体"/>
                <w:b w:val="0"/>
                <w:bCs w:val="0"/>
                <w:sz w:val="24"/>
              </w:rPr>
              <w:t>区生产总值（GDP）统计范围，即在</w:t>
            </w:r>
            <w:r>
              <w:rPr>
                <w:rFonts w:hint="eastAsia" w:ascii="楷体_GB2312" w:hAnsi="宋体" w:eastAsia="楷体_GB2312" w:cs="宋体"/>
                <w:b w:val="0"/>
                <w:bCs w:val="0"/>
                <w:sz w:val="24"/>
                <w:lang w:eastAsia="zh-CN"/>
              </w:rPr>
              <w:t>我国（地区）</w:t>
            </w:r>
            <w:r>
              <w:rPr>
                <w:rFonts w:hint="eastAsia" w:ascii="楷体_GB2312" w:hAnsi="宋体" w:eastAsia="楷体_GB2312" w:cs="宋体"/>
                <w:b w:val="0"/>
                <w:bCs w:val="0"/>
                <w:sz w:val="24"/>
              </w:rPr>
              <w:t>经济领土内拥有一定的活动场所，从事一定规模的经济活动，并超过一定时期的经济单位创造的最终产品和服务的价值。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rPr>
            </w:pPr>
            <w:r>
              <w:rPr>
                <w:rFonts w:hint="eastAsia" w:ascii="楷体_GB2312" w:hAnsi="宋体" w:eastAsia="楷体_GB2312" w:cs="宋体"/>
                <w:b/>
                <w:sz w:val="24"/>
              </w:rPr>
              <w:t>2</w:t>
            </w:r>
            <w:r>
              <w:rPr>
                <w:rFonts w:hint="eastAsia" w:ascii="楷体_GB2312" w:hAnsi="宋体" w:eastAsia="楷体_GB2312" w:cs="宋体"/>
                <w:b/>
                <w:bCs/>
                <w:sz w:val="24"/>
              </w:rPr>
              <w:t>、</w:t>
            </w:r>
            <w:r>
              <w:rPr>
                <w:rFonts w:hint="eastAsia" w:ascii="楷体_GB2312" w:hAnsi="宋体" w:eastAsia="楷体_GB2312" w:cs="宋体"/>
                <w:b/>
                <w:bCs/>
                <w:sz w:val="24"/>
                <w:lang w:eastAsia="zh-CN"/>
              </w:rPr>
              <w:t>核算方式</w:t>
            </w:r>
            <w:r>
              <w:rPr>
                <w:rFonts w:hint="eastAsia" w:ascii="楷体_GB2312" w:hAnsi="宋体" w:eastAsia="楷体_GB2312" w:cs="宋体"/>
                <w:bCs/>
                <w:sz w:val="24"/>
              </w:rPr>
              <w:t>：</w:t>
            </w:r>
            <w:r>
              <w:rPr>
                <w:rFonts w:hint="eastAsia" w:ascii="楷体_GB2312" w:hAnsi="宋体" w:eastAsia="楷体_GB2312" w:cs="宋体"/>
                <w:b w:val="0"/>
                <w:bCs w:val="0"/>
                <w:sz w:val="24"/>
              </w:rPr>
              <w:t>根据《北京市人民政府办公厅转发市统计局关于改进地区生产总值核算工作意见的通知》（京政办发[2005]5号）要求，由北京市统计局统一核算各区地区生产总值。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lang w:eastAsia="zh-CN"/>
              </w:rPr>
            </w:pPr>
            <w:r>
              <w:rPr>
                <w:rFonts w:hint="eastAsia" w:ascii="楷体_GB2312" w:hAnsi="宋体" w:eastAsia="楷体_GB2312" w:cs="宋体"/>
                <w:b/>
                <w:sz w:val="24"/>
              </w:rPr>
              <w:t>3</w:t>
            </w:r>
            <w:r>
              <w:rPr>
                <w:rFonts w:hint="eastAsia" w:ascii="楷体_GB2312" w:hAnsi="宋体" w:eastAsia="楷体_GB2312" w:cs="宋体"/>
                <w:b/>
                <w:bCs/>
                <w:sz w:val="24"/>
              </w:rPr>
              <w:t>、主要统计指标解释</w:t>
            </w:r>
            <w:r>
              <w:rPr>
                <w:rFonts w:hint="eastAsia" w:ascii="楷体_GB2312" w:hAnsi="宋体" w:eastAsia="楷体_GB2312" w:cs="宋体"/>
                <w:bCs/>
                <w:sz w:val="24"/>
              </w:rPr>
              <w:t>：</w:t>
            </w:r>
            <w:r>
              <w:rPr>
                <w:rFonts w:hint="eastAsia" w:ascii="楷体_GB2312" w:hAnsi="宋体" w:eastAsia="楷体_GB2312" w:cs="宋体"/>
                <w:b w:val="0"/>
                <w:bCs w:val="0"/>
                <w:sz w:val="24"/>
              </w:rPr>
              <w:t>地区生产总值（Gross Domestic Product，简称GDP）：是一个地区的所有常住单位在一定时期内所生产的全部最终产品和服务的价值总和，是反映经济总体状况的重要指标。地区生产总值</w:t>
            </w:r>
            <w:r>
              <w:rPr>
                <w:rFonts w:hint="eastAsia" w:ascii="楷体_GB2312" w:hAnsi="宋体" w:eastAsia="楷体_GB2312" w:cs="宋体"/>
                <w:b w:val="0"/>
                <w:bCs w:val="0"/>
                <w:sz w:val="24"/>
                <w:lang w:eastAsia="zh-CN"/>
              </w:rPr>
              <w:t>按现价计算，增速按可比价计算。</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lang w:val="en-US" w:eastAsia="zh-CN"/>
              </w:rPr>
            </w:pPr>
            <w:r>
              <w:rPr>
                <w:rFonts w:hint="eastAsia" w:ascii="楷体_GB2312" w:hAnsi="宋体" w:eastAsia="楷体_GB2312" w:cs="宋体"/>
                <w:b/>
                <w:sz w:val="24"/>
                <w:lang w:val="en-US" w:eastAsia="zh-CN"/>
              </w:rPr>
              <w:t>4、</w:t>
            </w:r>
            <w:r>
              <w:rPr>
                <w:rFonts w:hint="eastAsia" w:ascii="楷体_GB2312" w:hAnsi="宋体" w:eastAsia="楷体_GB2312" w:cs="宋体"/>
                <w:b w:val="0"/>
                <w:bCs w:val="0"/>
                <w:sz w:val="24"/>
                <w:lang w:val="en-US" w:eastAsia="zh-CN"/>
              </w:rPr>
              <w:t>按照我国地区生产总值统一核算和数据发布制度规定，地区生产总值核算包括初步核算和最终核实两个步骤。</w:t>
            </w:r>
          </w:p>
        </w:tc>
      </w:tr>
    </w:tbl>
    <w:p>
      <w:pPr>
        <w:pStyle w:val="2"/>
        <w:rPr>
          <w:rFonts w:hint="eastAsia"/>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pStyle w:val="2"/>
        <w:rPr>
          <w:rFonts w:hint="eastAsia"/>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农业统计数据：2024年</w:t>
      </w:r>
      <w:r>
        <w:rPr>
          <w:rFonts w:hint="default"/>
          <w:b/>
          <w:color w:val="0000FF"/>
          <w:sz w:val="36"/>
          <w:szCs w:val="36"/>
          <w:lang w:val="en" w:eastAsia="zh-CN"/>
        </w:rPr>
        <w:t>1-3季</w:t>
      </w:r>
      <w:r>
        <w:rPr>
          <w:rFonts w:hint="eastAsia"/>
          <w:b/>
          <w:color w:val="0000FF"/>
          <w:sz w:val="36"/>
          <w:szCs w:val="36"/>
          <w:lang w:eastAsia="zh-CN"/>
        </w:rPr>
        <w:t>度</w:t>
      </w:r>
      <w:r>
        <w:rPr>
          <w:rFonts w:hint="eastAsia"/>
          <w:b/>
          <w:color w:val="0000FF"/>
          <w:sz w:val="36"/>
          <w:szCs w:val="36"/>
        </w:rPr>
        <w:t>农林牧渔业生产情况</w:t>
      </w:r>
    </w:p>
    <w:tbl>
      <w:tblPr>
        <w:tblStyle w:val="6"/>
        <w:tblW w:w="13454" w:type="dxa"/>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523"/>
        <w:gridCol w:w="2886"/>
        <w:gridCol w:w="2568"/>
        <w:gridCol w:w="2477"/>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16" w:hRule="exact"/>
          <w:jc w:val="center"/>
        </w:trPr>
        <w:tc>
          <w:tcPr>
            <w:tcW w:w="552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2886"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lang w:eastAsia="zh-CN"/>
              </w:rPr>
              <w:t>2024年</w:t>
            </w:r>
            <w:r>
              <w:rPr>
                <w:rFonts w:hint="default" w:ascii="宋体" w:hAnsi="宋体" w:cs="宋体"/>
                <w:kern w:val="0"/>
                <w:sz w:val="24"/>
                <w:lang w:val="en" w:eastAsia="zh-CN"/>
              </w:rPr>
              <w:t>1-3季</w:t>
            </w:r>
            <w:r>
              <w:rPr>
                <w:rFonts w:hint="eastAsia" w:ascii="宋体" w:hAnsi="宋体" w:cs="宋体"/>
                <w:kern w:val="0"/>
                <w:sz w:val="24"/>
                <w:lang w:eastAsia="zh-CN"/>
              </w:rPr>
              <w:t>度</w:t>
            </w:r>
          </w:p>
        </w:tc>
        <w:tc>
          <w:tcPr>
            <w:tcW w:w="256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b/>
                <w:bCs/>
                <w:kern w:val="0"/>
                <w:sz w:val="24"/>
                <w:highlight w:val="none"/>
              </w:rPr>
            </w:pPr>
            <w:r>
              <w:rPr>
                <w:rFonts w:hint="eastAsia" w:ascii="宋体" w:hAnsi="宋体" w:cs="宋体"/>
                <w:kern w:val="0"/>
                <w:sz w:val="24"/>
                <w:lang w:eastAsia="zh-CN"/>
              </w:rPr>
              <w:t>2023年</w:t>
            </w:r>
            <w:r>
              <w:rPr>
                <w:rFonts w:hint="default" w:ascii="宋体" w:hAnsi="宋体" w:cs="宋体"/>
                <w:kern w:val="0"/>
                <w:sz w:val="24"/>
                <w:lang w:val="en" w:eastAsia="zh-CN"/>
              </w:rPr>
              <w:t>1-3季</w:t>
            </w:r>
            <w:r>
              <w:rPr>
                <w:rFonts w:hint="eastAsia" w:ascii="宋体" w:hAnsi="宋体" w:cs="宋体"/>
                <w:kern w:val="0"/>
                <w:sz w:val="24"/>
                <w:lang w:eastAsia="zh-CN"/>
              </w:rPr>
              <w:t>度</w:t>
            </w:r>
          </w:p>
        </w:tc>
        <w:tc>
          <w:tcPr>
            <w:tcW w:w="2477"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outlineLvl w:val="9"/>
              <w:rPr>
                <w:rFonts w:ascii="宋体" w:hAnsi="宋体" w:cs="宋体"/>
                <w:b/>
                <w:kern w:val="0"/>
                <w:sz w:val="24"/>
              </w:rPr>
            </w:pPr>
            <w:r>
              <w:rPr>
                <w:rFonts w:hint="eastAsia" w:ascii="宋体" w:hAnsi="宋体" w:cs="宋体"/>
                <w:b/>
                <w:kern w:val="0"/>
                <w:sz w:val="24"/>
              </w:rPr>
              <w:t>农林牧渔业总产值（</w:t>
            </w:r>
            <w:r>
              <w:rPr>
                <w:rFonts w:hint="eastAsia" w:ascii="宋体" w:hAnsi="宋体" w:cs="宋体"/>
                <w:b/>
                <w:kern w:val="0"/>
                <w:sz w:val="24"/>
                <w:lang w:eastAsia="zh-CN"/>
              </w:rPr>
              <w:t>万</w:t>
            </w:r>
            <w:r>
              <w:rPr>
                <w:rFonts w:hint="eastAsia" w:ascii="宋体" w:hAnsi="宋体" w:cs="宋体"/>
                <w:b/>
                <w:kern w:val="0"/>
                <w:sz w:val="24"/>
              </w:rPr>
              <w:t>元）</w:t>
            </w:r>
          </w:p>
        </w:tc>
        <w:tc>
          <w:tcPr>
            <w:tcW w:w="2886"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168055 </w:t>
            </w:r>
          </w:p>
        </w:tc>
        <w:tc>
          <w:tcPr>
            <w:tcW w:w="2568"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198003 </w:t>
            </w:r>
          </w:p>
        </w:tc>
        <w:tc>
          <w:tcPr>
            <w:tcW w:w="2477"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-15.1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240" w:firstLineChars="100"/>
              <w:jc w:val="left"/>
              <w:outlineLvl w:val="9"/>
              <w:rPr>
                <w:rFonts w:ascii="宋体" w:hAnsi="宋体" w:cs="宋体"/>
                <w:kern w:val="0"/>
                <w:sz w:val="24"/>
              </w:rPr>
            </w:pPr>
            <w:r>
              <w:rPr>
                <w:rFonts w:hint="eastAsia" w:ascii="宋体" w:hAnsi="宋体" w:cs="宋体"/>
                <w:kern w:val="0"/>
                <w:sz w:val="24"/>
              </w:rPr>
              <w:t>农业产值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89913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87042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3.3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rPr>
              <w:t xml:space="preserve">  林业产值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4"/>
                <w:szCs w:val="24"/>
                <w:u w:val="none"/>
                <w:lang w:val="en-US" w:eastAsia="zh-CN" w:bidi="ar"/>
              </w:rPr>
              <w:t xml:space="preserve">29061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66600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-56.4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牧业产值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39811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35642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11.7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渔业产值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1826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1178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54.9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农林牧渔</w:t>
            </w:r>
            <w:r>
              <w:rPr>
                <w:rFonts w:hint="eastAsia" w:ascii="宋体" w:hAnsi="宋体" w:cs="宋体"/>
                <w:kern w:val="0"/>
                <w:sz w:val="24"/>
                <w:lang w:eastAsia="zh-CN"/>
              </w:rPr>
              <w:t>专业及辅助性活动产值</w:t>
            </w:r>
            <w:r>
              <w:rPr>
                <w:rFonts w:hint="eastAsia" w:ascii="宋体" w:hAnsi="宋体" w:cs="宋体"/>
                <w:kern w:val="0"/>
                <w:sz w:val="24"/>
              </w:rPr>
              <w:t xml:space="preserve"> </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7444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7540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lang w:val="en-US"/>
              </w:rPr>
            </w:pPr>
            <w:r>
              <w:rPr>
                <w:rFonts w:hint="eastAsia" w:ascii="宋体" w:hAnsi="宋体" w:eastAsia="宋体" w:cs="宋体"/>
                <w:i w:val="0"/>
                <w:color w:val="000000"/>
                <w:kern w:val="0"/>
                <w:sz w:val="24"/>
                <w:szCs w:val="24"/>
                <w:u w:val="none"/>
                <w:lang w:val="en-US" w:eastAsia="zh-CN" w:bidi="ar"/>
              </w:rPr>
              <w:t xml:space="preserve">-1.3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PrEx>
        <w:trPr>
          <w:trHeight w:val="3930" w:hRule="exact"/>
          <w:jc w:val="center"/>
        </w:trPr>
        <w:tc>
          <w:tcPr>
            <w:tcW w:w="13454" w:type="dxa"/>
            <w:gridSpan w:val="4"/>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Cs/>
                <w:sz w:val="24"/>
                <w:szCs w:val="24"/>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：农林牧渔业单位</w:t>
            </w:r>
            <w:r>
              <w:rPr>
                <w:rFonts w:hint="eastAsia" w:ascii="楷体_GB2312" w:hAnsi="宋体" w:eastAsia="楷体_GB2312" w:cs="宋体"/>
                <w:sz w:val="24"/>
                <w:szCs w:val="24"/>
                <w:lang w:eastAsia="zh-CN"/>
              </w:rPr>
              <w:t>及农户</w:t>
            </w:r>
            <w:r>
              <w:rPr>
                <w:rFonts w:hint="eastAsia" w:ascii="楷体_GB2312" w:hAnsi="宋体" w:eastAsia="楷体_GB2312" w:cs="宋体"/>
                <w:sz w:val="24"/>
                <w:szCs w:val="24"/>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按照《郊区统计报表制度》的规定，由乡镇、区、到市级，逐级</w:t>
            </w:r>
            <w:r>
              <w:rPr>
                <w:rFonts w:hint="eastAsia" w:ascii="楷体_GB2312" w:hAnsi="宋体" w:eastAsia="楷体_GB2312" w:cs="宋体"/>
                <w:sz w:val="24"/>
                <w:szCs w:val="24"/>
                <w:lang w:eastAsia="zh-CN"/>
              </w:rPr>
              <w:t>核算</w:t>
            </w:r>
            <w:r>
              <w:rPr>
                <w:rFonts w:hint="eastAsia" w:ascii="楷体_GB2312" w:hAnsi="宋体" w:eastAsia="楷体_GB2312" w:cs="宋体"/>
                <w:sz w:val="24"/>
                <w:szCs w:val="24"/>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：农林牧渔业总产值</w:t>
            </w:r>
            <w:r>
              <w:rPr>
                <w:rFonts w:hint="eastAsia" w:ascii="楷体_GB2312" w:hAnsi="宋体" w:eastAsia="楷体_GB2312" w:cs="宋体"/>
                <w:bCs/>
                <w:sz w:val="24"/>
                <w:szCs w:val="24"/>
                <w:lang w:eastAsia="zh-CN"/>
              </w:rPr>
              <w:t>：指</w:t>
            </w:r>
            <w:r>
              <w:rPr>
                <w:rFonts w:hint="eastAsia" w:ascii="楷体_GB2312" w:hAnsi="宋体" w:eastAsia="楷体_GB2312" w:cs="宋体"/>
                <w:bCs/>
                <w:sz w:val="24"/>
                <w:szCs w:val="24"/>
              </w:rPr>
              <w:t>以货币表现的农林牧渔业的全部产品总量和对农林牧渔业生产活动进行的各种支持性服务活动的价值。</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jc w:val="both"/>
              <w:outlineLvl w:val="9"/>
              <w:rPr>
                <w:rFonts w:hint="eastAsia" w:ascii="楷体_GB2312" w:hAnsi="宋体" w:eastAsia="楷体_GB2312" w:cs="宋体"/>
                <w:sz w:val="21"/>
                <w:szCs w:val="21"/>
              </w:rPr>
            </w:pPr>
          </w:p>
        </w:tc>
      </w:tr>
    </w:tbl>
    <w:p>
      <w:pPr>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统计数据：2024年</w:t>
      </w:r>
      <w:r>
        <w:rPr>
          <w:rFonts w:hint="default"/>
          <w:b/>
          <w:color w:val="0000FF"/>
          <w:sz w:val="36"/>
          <w:szCs w:val="36"/>
          <w:lang w:val="en" w:eastAsia="zh-CN"/>
        </w:rPr>
        <w:t>1-3季度</w:t>
      </w:r>
      <w:r>
        <w:rPr>
          <w:rFonts w:hint="eastAsia" w:cs="Times New Roman"/>
          <w:b/>
          <w:color w:val="0000FF"/>
          <w:kern w:val="2"/>
          <w:sz w:val="36"/>
          <w:szCs w:val="36"/>
          <w:lang w:eastAsia="zh-CN"/>
        </w:rPr>
        <w:t>乡村休闲旅游经营</w:t>
      </w:r>
      <w:r>
        <w:rPr>
          <w:rFonts w:hint="eastAsia"/>
          <w:b/>
          <w:color w:val="0000FF"/>
          <w:sz w:val="36"/>
          <w:szCs w:val="36"/>
        </w:rPr>
        <w:t>情况</w:t>
      </w:r>
    </w:p>
    <w:tbl>
      <w:tblPr>
        <w:tblStyle w:val="6"/>
        <w:tblW w:w="4998" w:type="pct"/>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5234"/>
        <w:gridCol w:w="4080"/>
        <w:gridCol w:w="4135"/>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40" w:hRule="exact"/>
          <w:jc w:val="center"/>
        </w:trPr>
        <w:tc>
          <w:tcPr>
            <w:tcW w:w="1946"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1517"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highlight w:val="none"/>
                <w:lang w:val="en"/>
              </w:rPr>
            </w:pPr>
            <w:r>
              <w:rPr>
                <w:rFonts w:hint="eastAsia" w:ascii="宋体" w:hAnsi="宋体" w:cs="宋体"/>
                <w:kern w:val="0"/>
                <w:sz w:val="24"/>
                <w:highlight w:val="none"/>
                <w:lang w:eastAsia="zh-CN"/>
              </w:rPr>
              <w:t>2024年</w:t>
            </w:r>
            <w:r>
              <w:rPr>
                <w:rFonts w:hint="default" w:ascii="宋体" w:hAnsi="宋体" w:cs="宋体"/>
                <w:kern w:val="0"/>
                <w:sz w:val="24"/>
                <w:highlight w:val="none"/>
                <w:lang w:val="en" w:eastAsia="zh-CN"/>
              </w:rPr>
              <w:t>1-3季度</w:t>
            </w:r>
          </w:p>
        </w:tc>
        <w:tc>
          <w:tcPr>
            <w:tcW w:w="1535"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highlight w:val="none"/>
                <w:lang w:eastAsia="zh-CN"/>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2" w:hRule="exact"/>
          <w:jc w:val="center"/>
        </w:trPr>
        <w:tc>
          <w:tcPr>
            <w:tcW w:w="194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outlineLvl w:val="9"/>
              <w:rPr>
                <w:rFonts w:hint="eastAsia" w:ascii="宋体" w:hAnsi="宋体" w:cs="宋体"/>
                <w:kern w:val="0"/>
                <w:sz w:val="24"/>
                <w:lang w:val="en-US" w:eastAsia="zh-CN"/>
              </w:rPr>
            </w:pPr>
            <w:r>
              <w:rPr>
                <w:rFonts w:hint="eastAsia" w:ascii="宋体" w:hAnsi="宋体" w:eastAsia="宋体" w:cs="宋体"/>
                <w:b w:val="0"/>
                <w:bCs/>
                <w:i w:val="0"/>
                <w:color w:val="000000"/>
                <w:kern w:val="0"/>
                <w:sz w:val="24"/>
                <w:szCs w:val="24"/>
                <w:u w:val="none"/>
                <w:lang w:val="en-US" w:eastAsia="zh-CN" w:bidi="ar-SA"/>
              </w:rPr>
              <w:t xml:space="preserve">  </w:t>
            </w:r>
            <w:r>
              <w:rPr>
                <w:rFonts w:hint="eastAsia" w:asciiTheme="minorEastAsia" w:hAnsiTheme="minorEastAsia" w:eastAsiaTheme="minorEastAsia" w:cstheme="minorEastAsia"/>
                <w:b w:val="0"/>
                <w:bCs/>
                <w:i w:val="0"/>
                <w:color w:val="000000"/>
                <w:kern w:val="0"/>
                <w:sz w:val="24"/>
                <w:szCs w:val="24"/>
                <w:u w:val="none"/>
                <w:lang w:val="en-US" w:eastAsia="zh-CN" w:bidi="ar-SA"/>
              </w:rPr>
              <w:t>总收入（万元</w:t>
            </w:r>
            <w:r>
              <w:rPr>
                <w:rFonts w:hint="eastAsia" w:asciiTheme="minorEastAsia" w:hAnsiTheme="minorEastAsia" w:eastAsiaTheme="minorEastAsia" w:cstheme="minorEastAsia"/>
                <w:kern w:val="0"/>
                <w:sz w:val="24"/>
                <w:lang w:val="en-US" w:eastAsia="zh-CN"/>
              </w:rPr>
              <w:t>）</w:t>
            </w:r>
          </w:p>
        </w:tc>
        <w:tc>
          <w:tcPr>
            <w:tcW w:w="40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60095 </w:t>
            </w:r>
          </w:p>
        </w:tc>
        <w:tc>
          <w:tcPr>
            <w:tcW w:w="413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0.4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56" w:hRule="exact"/>
          <w:jc w:val="center"/>
        </w:trPr>
        <w:tc>
          <w:tcPr>
            <w:tcW w:w="1946" w:type="pct"/>
            <w:tcBorders>
              <w:bottom w:val="single" w:color="auto" w:sz="12" w:space="0"/>
            </w:tcBorders>
            <w:vAlign w:val="center"/>
          </w:tcPr>
          <w:p>
            <w:pPr>
              <w:jc w:val="both"/>
              <w:rPr>
                <w:rFonts w:hint="default" w:eastAsia="宋体"/>
                <w:lang w:val="en-US" w:eastAsia="zh-CN"/>
              </w:rPr>
            </w:pPr>
            <w:r>
              <w:rPr>
                <w:rFonts w:hint="eastAsia"/>
                <w:lang w:val="en-US" w:eastAsia="zh-CN"/>
              </w:rPr>
              <w:t xml:space="preserve">  </w:t>
            </w:r>
            <w:r>
              <w:rPr>
                <w:rFonts w:hint="eastAsia" w:asciiTheme="minorEastAsia" w:hAnsiTheme="minorEastAsia" w:eastAsiaTheme="minorEastAsia" w:cstheme="minorEastAsia"/>
                <w:b w:val="0"/>
                <w:bCs/>
                <w:i w:val="0"/>
                <w:color w:val="000000"/>
                <w:kern w:val="0"/>
                <w:sz w:val="24"/>
                <w:szCs w:val="24"/>
                <w:u w:val="none"/>
                <w:lang w:val="en-US" w:eastAsia="zh-CN" w:bidi="ar-SA"/>
              </w:rPr>
              <w:t>接待人次（万人次）</w:t>
            </w:r>
          </w:p>
        </w:tc>
        <w:tc>
          <w:tcPr>
            <w:tcW w:w="4080"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sz w:val="24"/>
                <w:szCs w:val="24"/>
              </w:rPr>
            </w:pPr>
            <w:r>
              <w:rPr>
                <w:rFonts w:hint="eastAsia" w:ascii="宋体" w:hAnsi="宋体" w:eastAsia="宋体" w:cs="宋体"/>
                <w:i w:val="0"/>
                <w:color w:val="000000"/>
                <w:kern w:val="0"/>
                <w:sz w:val="24"/>
                <w:szCs w:val="24"/>
                <w:u w:val="none"/>
                <w:lang w:val="en-US" w:eastAsia="zh-CN" w:bidi="ar"/>
              </w:rPr>
              <w:t xml:space="preserve">356.2 </w:t>
            </w:r>
          </w:p>
        </w:tc>
        <w:tc>
          <w:tcPr>
            <w:tcW w:w="4135"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-4.8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998" w:hRule="exact"/>
          <w:jc w:val="center"/>
        </w:trPr>
        <w:tc>
          <w:tcPr>
            <w:tcW w:w="5000" w:type="pct"/>
            <w:gridSpan w:val="3"/>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keepNext w:val="0"/>
              <w:keepLines w:val="0"/>
              <w:pageBreakBefore w:val="0"/>
              <w:kinsoku/>
              <w:wordWrap/>
              <w:overflowPunct/>
              <w:topLinePunct w:val="0"/>
              <w:autoSpaceDE/>
              <w:autoSpaceDN/>
              <w:bidi w:val="0"/>
              <w:adjustRightInd w:val="0"/>
              <w:snapToGrid w:val="0"/>
              <w:spacing w:beforeLines="0" w:afterLines="0"/>
              <w:jc w:val="left"/>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w:t>
            </w:r>
            <w:r>
              <w:rPr>
                <w:rFonts w:hint="eastAsia" w:ascii="楷体_GB2312" w:hAnsi="宋体" w:eastAsia="楷体_GB2312" w:cs="宋体"/>
                <w:kern w:val="0"/>
                <w:sz w:val="24"/>
                <w:szCs w:val="24"/>
                <w:lang w:val="en-US" w:eastAsia="zh-CN" w:bidi="ar-SA"/>
              </w:rPr>
              <w:t>行政村范围内乡村休闲旅游经营主体。</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Cs/>
                <w:sz w:val="24"/>
                <w:szCs w:val="24"/>
                <w:lang w:val="en-US" w:eastAsia="zh-CN"/>
              </w:rPr>
            </w:pP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按照《郊区统计报表制度》的规定，由村、乡镇、区、到市级，逐级汇总。</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bCs/>
                <w:sz w:val="24"/>
                <w:szCs w:val="24"/>
                <w:lang w:val="en-US" w:eastAsia="zh-CN"/>
              </w:rPr>
              <w:t>接待人次：指规定调查期内经营主体接待的人次。总收入：指经营主体从事各类业务活动取得的收入。具体包括门票收入、采摘收入、出售农产品收入、出售其他商品收入、休闲娱乐收入、餐饮收入、住宿收入和其他收入</w:t>
            </w:r>
          </w:p>
        </w:tc>
      </w:tr>
    </w:tbl>
    <w:p>
      <w:pPr>
        <w:jc w:val="center"/>
        <w:rPr>
          <w:rFonts w:hint="eastAsia"/>
          <w:b/>
          <w:color w:val="0000FF"/>
          <w:sz w:val="36"/>
          <w:szCs w:val="36"/>
          <w:lang w:eastAsia="zh-CN"/>
        </w:rPr>
      </w:pPr>
    </w:p>
    <w:p>
      <w:pPr>
        <w:pStyle w:val="2"/>
        <w:rPr>
          <w:rFonts w:hint="eastAsia"/>
          <w:b/>
          <w:color w:val="0000FF"/>
          <w:sz w:val="36"/>
          <w:szCs w:val="36"/>
          <w:lang w:eastAsia="zh-CN"/>
        </w:rPr>
      </w:pPr>
    </w:p>
    <w:p>
      <w:pPr>
        <w:rPr>
          <w:rFonts w:hint="eastAsia"/>
          <w:b/>
          <w:color w:val="0000FF"/>
          <w:sz w:val="36"/>
          <w:szCs w:val="36"/>
          <w:lang w:eastAsia="zh-CN"/>
        </w:rPr>
      </w:pPr>
    </w:p>
    <w:p>
      <w:pPr>
        <w:pStyle w:val="2"/>
        <w:rPr>
          <w:rFonts w:hint="eastAsia"/>
          <w:b/>
          <w:color w:val="0000FF"/>
          <w:sz w:val="36"/>
          <w:szCs w:val="36"/>
          <w:lang w:eastAsia="zh-CN"/>
        </w:rPr>
      </w:pPr>
    </w:p>
    <w:p>
      <w:pPr>
        <w:rPr>
          <w:rFonts w:hint="eastAsia"/>
          <w:lang w:eastAsia="zh-CN"/>
        </w:rPr>
      </w:pPr>
    </w:p>
    <w:p>
      <w:pPr>
        <w:rPr>
          <w:rFonts w:hint="eastAsia"/>
          <w:b/>
          <w:color w:val="0000FF"/>
          <w:sz w:val="36"/>
          <w:szCs w:val="36"/>
          <w:lang w:eastAsia="zh-CN"/>
        </w:rPr>
      </w:pPr>
    </w:p>
    <w:p>
      <w:pPr>
        <w:pStyle w:val="2"/>
        <w:rPr>
          <w:rFonts w:hint="eastAsia"/>
          <w:lang w:eastAsia="zh-CN"/>
        </w:rPr>
      </w:pPr>
    </w:p>
    <w:p>
      <w:pPr>
        <w:rPr>
          <w:rFonts w:hint="eastAsia"/>
          <w:lang w:eastAsia="zh-CN"/>
        </w:rPr>
      </w:pPr>
    </w:p>
    <w:p>
      <w:pPr>
        <w:rPr>
          <w:rFonts w:hint="eastAsia"/>
          <w:lang w:eastAsia="zh-CN"/>
        </w:rPr>
      </w:pPr>
    </w:p>
    <w:p>
      <w:pPr>
        <w:jc w:val="center"/>
        <w:rPr>
          <w:rFonts w:hint="eastAsia"/>
          <w:b/>
          <w:color w:val="0000FF"/>
          <w:sz w:val="36"/>
          <w:szCs w:val="36"/>
        </w:rPr>
      </w:pPr>
      <w:r>
        <w:rPr>
          <w:rFonts w:hint="eastAsia"/>
          <w:b/>
          <w:color w:val="0000FF"/>
          <w:sz w:val="36"/>
          <w:szCs w:val="36"/>
          <w:lang w:eastAsia="zh-CN"/>
        </w:rPr>
        <w:t>建筑业统计数据：2024年</w:t>
      </w:r>
      <w:r>
        <w:rPr>
          <w:rFonts w:hint="default"/>
          <w:b/>
          <w:color w:val="0000FF"/>
          <w:sz w:val="36"/>
          <w:szCs w:val="36"/>
          <w:lang w:val="en" w:eastAsia="zh-CN"/>
        </w:rPr>
        <w:t>1-3季</w:t>
      </w:r>
      <w:r>
        <w:rPr>
          <w:rFonts w:hint="eastAsia"/>
          <w:b/>
          <w:color w:val="0000FF"/>
          <w:sz w:val="36"/>
          <w:szCs w:val="36"/>
          <w:lang w:eastAsia="zh-CN"/>
        </w:rPr>
        <w:t>度</w:t>
      </w:r>
      <w:r>
        <w:rPr>
          <w:rFonts w:hint="eastAsia"/>
          <w:b/>
          <w:color w:val="0000FF"/>
          <w:sz w:val="36"/>
          <w:szCs w:val="36"/>
        </w:rPr>
        <w:t>资质建筑业企业</w:t>
      </w:r>
      <w:r>
        <w:rPr>
          <w:rFonts w:hint="eastAsia"/>
          <w:b/>
          <w:color w:val="0000FF"/>
          <w:sz w:val="36"/>
          <w:szCs w:val="36"/>
          <w:lang w:eastAsia="zh-CN"/>
        </w:rPr>
        <w:t>生产</w:t>
      </w:r>
      <w:r>
        <w:rPr>
          <w:rFonts w:hint="eastAsia"/>
          <w:b/>
          <w:color w:val="0000FF"/>
          <w:sz w:val="36"/>
          <w:szCs w:val="36"/>
        </w:rPr>
        <w:t>情况</w:t>
      </w:r>
    </w:p>
    <w:tbl>
      <w:tblPr>
        <w:tblStyle w:val="6"/>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
        <w:gridCol w:w="3560"/>
        <w:gridCol w:w="1536"/>
        <w:gridCol w:w="1680"/>
        <w:gridCol w:w="1560"/>
        <w:gridCol w:w="1692"/>
        <w:gridCol w:w="17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3592" w:type="dxa"/>
            <w:gridSpan w:val="2"/>
            <w:vMerge w:val="restar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指 标 名 称</w:t>
            </w:r>
          </w:p>
        </w:tc>
        <w:tc>
          <w:tcPr>
            <w:tcW w:w="3216"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签订合同额</w:t>
            </w:r>
          </w:p>
        </w:tc>
        <w:tc>
          <w:tcPr>
            <w:tcW w:w="3252"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建筑业总产值</w:t>
            </w:r>
          </w:p>
        </w:tc>
        <w:tc>
          <w:tcPr>
            <w:tcW w:w="3208" w:type="dxa"/>
            <w:gridSpan w:val="2"/>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exact"/>
        </w:trPr>
        <w:tc>
          <w:tcPr>
            <w:tcW w:w="3592" w:type="dxa"/>
            <w:gridSpan w:val="2"/>
            <w:vMerge w:val="continue"/>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5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9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7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468" w:type="dxa"/>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single" w:color="auto" w:sz="2" w:space="0"/>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SA"/>
              </w:rPr>
              <w:t>全区合计</w:t>
            </w:r>
          </w:p>
        </w:tc>
        <w:tc>
          <w:tcPr>
            <w:tcW w:w="1536"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2590137 </w:t>
            </w:r>
          </w:p>
        </w:tc>
        <w:tc>
          <w:tcPr>
            <w:tcW w:w="168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16.8 </w:t>
            </w:r>
          </w:p>
        </w:tc>
        <w:tc>
          <w:tcPr>
            <w:tcW w:w="156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1175978 </w:t>
            </w:r>
          </w:p>
        </w:tc>
        <w:tc>
          <w:tcPr>
            <w:tcW w:w="1692"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4.2 </w:t>
            </w:r>
          </w:p>
        </w:tc>
        <w:tc>
          <w:tcPr>
            <w:tcW w:w="174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753304 </w:t>
            </w:r>
          </w:p>
        </w:tc>
        <w:tc>
          <w:tcPr>
            <w:tcW w:w="1468" w:type="dxa"/>
            <w:tcBorders>
              <w:top w:val="single" w:color="auto" w:sz="2" w:space="0"/>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按行业类别</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房屋建筑业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989117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35.8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292696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16.0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245560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土木工程建筑业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1050346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506527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-4.8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329408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建筑安装业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140839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12.6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55553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6.8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13012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建筑装饰、装修和其他建筑业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409836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18.3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321202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9.9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165325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按资质等级</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施工总承包</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1985391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19.6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523093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11.6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448206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8" w:hRule="exact"/>
        </w:trPr>
        <w:tc>
          <w:tcPr>
            <w:tcW w:w="3592" w:type="dxa"/>
            <w:gridSpan w:val="2"/>
            <w:tcBorders>
              <w:top w:val="nil"/>
              <w:left w:val="nil"/>
              <w:bottom w:val="single" w:color="auto" w:sz="12" w:space="0"/>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专业承包</w:t>
            </w:r>
          </w:p>
        </w:tc>
        <w:tc>
          <w:tcPr>
            <w:tcW w:w="1536"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604746 </w:t>
            </w:r>
          </w:p>
        </w:tc>
        <w:tc>
          <w:tcPr>
            <w:tcW w:w="168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8.6 </w:t>
            </w:r>
          </w:p>
        </w:tc>
        <w:tc>
          <w:tcPr>
            <w:tcW w:w="156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652886 </w:t>
            </w:r>
          </w:p>
        </w:tc>
        <w:tc>
          <w:tcPr>
            <w:tcW w:w="1692"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-1.1 </w:t>
            </w:r>
          </w:p>
        </w:tc>
        <w:tc>
          <w:tcPr>
            <w:tcW w:w="174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305098 </w:t>
            </w:r>
          </w:p>
        </w:tc>
        <w:tc>
          <w:tcPr>
            <w:tcW w:w="1468" w:type="dxa"/>
            <w:tcBorders>
              <w:top w:val="nil"/>
              <w:left w:val="single" w:color="auto" w:sz="2" w:space="0"/>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90" w:hRule="atLeast"/>
        </w:trPr>
        <w:tc>
          <w:tcPr>
            <w:tcW w:w="13236"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宋体" w:eastAsia="楷体_GB2312" w:cs="宋体"/>
                <w:kern w:val="0"/>
                <w:sz w:val="24"/>
              </w:rPr>
            </w:pPr>
            <w:r>
              <w:rPr>
                <w:rFonts w:hint="eastAsia" w:ascii="楷体_GB2312" w:hAnsi="宋体" w:eastAsia="楷体_GB2312" w:cs="宋体"/>
                <w:kern w:val="0"/>
                <w:sz w:val="24"/>
              </w:rPr>
              <w:t>注释：</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color w:val="000000"/>
                <w:sz w:val="20"/>
                <w:szCs w:val="20"/>
                <w:u w:val="none"/>
              </w:rPr>
            </w:pPr>
            <w:r>
              <w:rPr>
                <w:rFonts w:hint="eastAsia" w:ascii="楷体_GB2312" w:hAnsi="宋体" w:eastAsia="楷体_GB2312" w:cs="宋体"/>
                <w:b/>
                <w:bCs/>
                <w:kern w:val="0"/>
                <w:sz w:val="24"/>
                <w:lang w:val="en-US" w:eastAsia="zh-CN"/>
              </w:rPr>
              <w:t>1、</w:t>
            </w:r>
            <w:r>
              <w:rPr>
                <w:rFonts w:hint="eastAsia" w:ascii="楷体_GB2312" w:hAnsi="宋体" w:eastAsia="楷体_GB2312" w:cs="宋体"/>
                <w:b/>
                <w:bCs/>
                <w:kern w:val="0"/>
                <w:sz w:val="24"/>
              </w:rPr>
              <w:t>统计范围：</w:t>
            </w:r>
            <w:r>
              <w:rPr>
                <w:rFonts w:hint="eastAsia" w:ascii="楷体_GB2312" w:hAnsi="宋体" w:eastAsia="楷体_GB2312" w:cs="宋体"/>
                <w:kern w:val="0"/>
                <w:sz w:val="24"/>
              </w:rPr>
              <w:t>统</w:t>
            </w:r>
            <w:r>
              <w:rPr>
                <w:rFonts w:hint="eastAsia" w:ascii="楷体_GB2312" w:hAnsi="宋体" w:eastAsia="楷体_GB2312" w:cs="宋体"/>
                <w:bCs/>
                <w:kern w:val="0"/>
                <w:sz w:val="24"/>
                <w:szCs w:val="24"/>
                <w:lang w:val="en-US" w:eastAsia="zh-CN" w:bidi="ar-SA"/>
              </w:rPr>
              <w:t>计范围为具有资质的建筑业法人单位，即指领取了《企业法人营业执照》，并经各级建设行政主管部门审核批准，获得总承包、专业承包《建筑业企业资质证书》的建筑业法人单位。</w:t>
            </w:r>
            <w:r>
              <w:rPr>
                <w:rFonts w:hint="eastAsia" w:ascii="楷体_GB2312" w:hAnsi="宋体" w:eastAsia="楷体_GB2312" w:cs="宋体"/>
                <w:bCs/>
                <w:kern w:val="0"/>
                <w:sz w:val="24"/>
                <w:szCs w:val="24"/>
                <w:lang w:val="en-US" w:eastAsia="zh-CN" w:bidi="ar-SA"/>
              </w:rPr>
              <w:br w:type="textWrapping"/>
            </w:r>
            <w:r>
              <w:rPr>
                <w:rFonts w:hint="eastAsia" w:ascii="楷体_GB2312" w:hAnsi="宋体" w:eastAsia="楷体_GB2312" w:cs="宋体"/>
                <w:b/>
                <w:bCs/>
                <w:kern w:val="0"/>
                <w:sz w:val="24"/>
              </w:rPr>
              <w:t>2、采集渠道：</w:t>
            </w:r>
            <w:r>
              <w:rPr>
                <w:rFonts w:hint="eastAsia" w:ascii="楷体_GB2312" w:hAnsi="宋体" w:eastAsia="楷体_GB2312" w:cs="宋体"/>
                <w:kern w:val="0"/>
                <w:sz w:val="24"/>
              </w:rPr>
              <w:t>纳入统计范围的建筑业企业按照《建筑业统计报表制度》要求，通过统计数据集中采集平台上报统计数据。</w:t>
            </w:r>
            <w:r>
              <w:rPr>
                <w:rFonts w:hint="eastAsia" w:ascii="楷体_GB2312" w:eastAsia="楷体_GB2312"/>
                <w:color w:val="000000"/>
                <w:sz w:val="24"/>
              </w:rPr>
              <w:t>经北京市统计局统一审核评估后对外发布</w:t>
            </w:r>
            <w:r>
              <w:rPr>
                <w:rFonts w:hint="eastAsia" w:ascii="楷体_GB2312" w:eastAsia="楷体_GB2312"/>
                <w:color w:val="000000"/>
                <w:sz w:val="24"/>
                <w:lang w:eastAsia="zh-CN"/>
              </w:rPr>
              <w:t>。</w:t>
            </w:r>
            <w:r>
              <w:rPr>
                <w:rFonts w:hint="eastAsia" w:ascii="楷体_GB2312" w:hAnsi="宋体" w:eastAsia="楷体_GB2312" w:cs="宋体"/>
                <w:kern w:val="0"/>
                <w:sz w:val="24"/>
              </w:rPr>
              <w:br w:type="textWrapping"/>
            </w:r>
            <w:r>
              <w:rPr>
                <w:rFonts w:hint="eastAsia" w:ascii="楷体_GB2312" w:hAnsi="宋体" w:eastAsia="楷体_GB2312" w:cs="宋体"/>
                <w:b/>
                <w:bCs/>
                <w:kern w:val="0"/>
                <w:sz w:val="24"/>
              </w:rPr>
              <w:t>3、主要统计指标解释：</w:t>
            </w:r>
            <w:r>
              <w:rPr>
                <w:rFonts w:hint="eastAsia" w:ascii="楷体_GB2312" w:hAnsi="宋体" w:eastAsia="楷体_GB2312" w:cs="宋体"/>
                <w:b w:val="0"/>
                <w:bCs/>
                <w:kern w:val="0"/>
                <w:sz w:val="24"/>
                <w:szCs w:val="24"/>
              </w:rPr>
              <w:t>签订合同额</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指建筑业企业在报告期直接同建设单位签订的各种国内工程合同的总价款和以前年度同建设单位签订的各种国内工程合同的未完工程跨入本年度继续施工工程合同的总价款余额。建筑业总产值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指以货币表现的建筑业企业在一定时期内生产的建筑业产品和服务的总和。建筑业总产值包括建筑工程产值、安装工程产值和其他产值三部分内容</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竣工产值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一般是以单位工程为对象，当该工程按照设计所规定的工程内容全部完成，达到了设计规定的交工条件，经有关部门检查验收鉴定合格的单位工程价值，即为竣工产值。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90" w:hRule="atLeast"/>
        </w:trPr>
        <w:tc>
          <w:tcPr>
            <w:tcW w:w="13236" w:type="dxa"/>
            <w:gridSpan w:val="7"/>
            <w:tcBorders>
              <w:tl2br w:val="nil"/>
              <w:tr2bl w:val="nil"/>
            </w:tcBorders>
            <w:vAlign w:val="center"/>
          </w:tcPr>
          <w:tbl>
            <w:tblPr>
              <w:tblStyle w:val="6"/>
              <w:tblpPr w:leftFromText="180" w:rightFromText="180" w:vertAnchor="text" w:horzAnchor="page" w:tblpX="3" w:tblpY="-3244"/>
              <w:tblOverlap w:val="never"/>
              <w:tblW w:w="13191"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4767"/>
              <w:gridCol w:w="2013"/>
              <w:gridCol w:w="2087"/>
              <w:gridCol w:w="2129"/>
              <w:gridCol w:w="1040"/>
              <w:gridCol w:w="1155"/>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gridAfter w:val="1"/>
                <w:wAfter w:w="1155" w:type="dxa"/>
                <w:trHeight w:val="476" w:hRule="atLeast"/>
              </w:trPr>
              <w:tc>
                <w:tcPr>
                  <w:tcW w:w="12036" w:type="dxa"/>
                  <w:gridSpan w:val="5"/>
                  <w:tcBorders>
                    <w:tl2br w:val="nil"/>
                    <w:tr2bl w:val="nil"/>
                  </w:tcBorders>
                  <w:tcMar>
                    <w:left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eastAsia="宋体"/>
                      <w:b/>
                      <w:color w:val="404040"/>
                      <w:sz w:val="30"/>
                      <w:szCs w:val="30"/>
                      <w:lang w:eastAsia="zh-CN"/>
                    </w:rPr>
                  </w:pPr>
                  <w:r>
                    <w:rPr>
                      <w:rFonts w:hint="eastAsia"/>
                      <w:b/>
                      <w:color w:val="0000FF"/>
                      <w:sz w:val="36"/>
                      <w:szCs w:val="36"/>
                      <w:lang w:val="en-US" w:eastAsia="zh-CN"/>
                    </w:rPr>
                    <w:t xml:space="preserve">       居民收支统计数据：</w:t>
                  </w:r>
                  <w:r>
                    <w:rPr>
                      <w:rFonts w:hint="eastAsia"/>
                      <w:b/>
                      <w:color w:val="0000FF"/>
                      <w:sz w:val="36"/>
                      <w:szCs w:val="36"/>
                      <w:lang w:eastAsia="zh-CN"/>
                    </w:rPr>
                    <w:t>2024年</w:t>
                  </w:r>
                  <w:r>
                    <w:rPr>
                      <w:rFonts w:hint="default"/>
                      <w:b/>
                      <w:color w:val="0000FF"/>
                      <w:sz w:val="36"/>
                      <w:szCs w:val="36"/>
                      <w:lang w:val="en" w:eastAsia="zh-CN"/>
                    </w:rPr>
                    <w:t>1-3季</w:t>
                  </w:r>
                  <w:r>
                    <w:rPr>
                      <w:rFonts w:hint="eastAsia"/>
                      <w:b/>
                      <w:color w:val="0000FF"/>
                      <w:sz w:val="36"/>
                      <w:szCs w:val="36"/>
                      <w:lang w:eastAsia="zh-CN"/>
                    </w:rPr>
                    <w:t>度居民人均可支配收入情况</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431" w:hRule="atLeast"/>
              </w:trPr>
              <w:tc>
                <w:tcPr>
                  <w:tcW w:w="4767" w:type="dxa"/>
                  <w:vMerge w:val="restart"/>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指 标 名 称</w:t>
                  </w:r>
                </w:p>
              </w:tc>
              <w:tc>
                <w:tcPr>
                  <w:tcW w:w="4100" w:type="dxa"/>
                  <w:gridSpan w:val="2"/>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全区居民</w:t>
                  </w:r>
                </w:p>
              </w:tc>
              <w:tc>
                <w:tcPr>
                  <w:tcW w:w="4324" w:type="dxa"/>
                  <w:gridSpan w:val="3"/>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城镇居民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atLeast"/>
              </w:trPr>
              <w:tc>
                <w:tcPr>
                  <w:tcW w:w="4767" w:type="dxa"/>
                  <w:vMerge w:val="continue"/>
                  <w:tcBorders>
                    <w:top w:val="single" w:color="auto" w:sz="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rPr>
                  </w:pPr>
                </w:p>
              </w:tc>
              <w:tc>
                <w:tcPr>
                  <w:tcW w:w="2013"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2024年</w:t>
                  </w:r>
                  <w:r>
                    <w:rPr>
                      <w:rStyle w:val="8"/>
                      <w:rFonts w:hint="default" w:ascii="宋体" w:hAnsi="宋体" w:eastAsia="宋体" w:cs="宋体"/>
                      <w:b w:val="0"/>
                      <w:bCs/>
                      <w:color w:val="404040"/>
                      <w:sz w:val="24"/>
                      <w:szCs w:val="24"/>
                      <w:lang w:val="en" w:eastAsia="zh-CN"/>
                    </w:rPr>
                    <w:t>1-3季</w:t>
                  </w:r>
                  <w:r>
                    <w:rPr>
                      <w:rStyle w:val="8"/>
                      <w:rFonts w:hint="eastAsia" w:ascii="宋体" w:hAnsi="宋体" w:eastAsia="宋体" w:cs="宋体"/>
                      <w:b w:val="0"/>
                      <w:bCs/>
                      <w:color w:val="404040"/>
                      <w:sz w:val="24"/>
                      <w:szCs w:val="24"/>
                      <w:lang w:eastAsia="zh-CN"/>
                    </w:rPr>
                    <w:t>度</w:t>
                  </w:r>
                </w:p>
              </w:tc>
              <w:tc>
                <w:tcPr>
                  <w:tcW w:w="2087"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c>
                <w:tcPr>
                  <w:tcW w:w="2129"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val="en-US" w:eastAsia="zh-CN"/>
                    </w:rPr>
                  </w:pPr>
                  <w:r>
                    <w:rPr>
                      <w:rStyle w:val="8"/>
                      <w:rFonts w:hint="eastAsia" w:ascii="宋体" w:hAnsi="宋体" w:eastAsia="宋体" w:cs="宋体"/>
                      <w:b w:val="0"/>
                      <w:bCs/>
                      <w:color w:val="404040"/>
                      <w:sz w:val="24"/>
                      <w:szCs w:val="24"/>
                      <w:lang w:eastAsia="zh-CN"/>
                    </w:rPr>
                    <w:t>2024年</w:t>
                  </w:r>
                  <w:r>
                    <w:rPr>
                      <w:rStyle w:val="8"/>
                      <w:rFonts w:hint="default" w:ascii="宋体" w:hAnsi="宋体" w:eastAsia="宋体" w:cs="宋体"/>
                      <w:b w:val="0"/>
                      <w:bCs/>
                      <w:color w:val="404040"/>
                      <w:sz w:val="24"/>
                      <w:szCs w:val="24"/>
                      <w:lang w:val="en" w:eastAsia="zh-CN"/>
                    </w:rPr>
                    <w:t>1-3季</w:t>
                  </w:r>
                  <w:r>
                    <w:rPr>
                      <w:rStyle w:val="8"/>
                      <w:rFonts w:hint="eastAsia" w:ascii="宋体" w:hAnsi="宋体" w:eastAsia="宋体" w:cs="宋体"/>
                      <w:b w:val="0"/>
                      <w:bCs/>
                      <w:color w:val="404040"/>
                      <w:sz w:val="24"/>
                      <w:szCs w:val="24"/>
                      <w:lang w:eastAsia="zh-CN"/>
                    </w:rPr>
                    <w:t>度</w:t>
                  </w:r>
                </w:p>
              </w:tc>
              <w:tc>
                <w:tcPr>
                  <w:tcW w:w="2195" w:type="dxa"/>
                  <w:gridSpan w:val="2"/>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single" w:color="auto" w:sz="2" w:space="0"/>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b/>
                      <w:bCs/>
                      <w:color w:val="404040"/>
                      <w:sz w:val="24"/>
                      <w:szCs w:val="24"/>
                      <w:lang w:eastAsia="zh-CN"/>
                    </w:rPr>
                  </w:pPr>
                  <w:r>
                    <w:rPr>
                      <w:rStyle w:val="8"/>
                      <w:rFonts w:hint="eastAsia" w:ascii="宋体" w:hAnsi="宋体" w:eastAsia="宋体" w:cs="宋体"/>
                      <w:b/>
                      <w:bCs/>
                      <w:color w:val="404040"/>
                      <w:sz w:val="24"/>
                      <w:szCs w:val="24"/>
                    </w:rPr>
                    <w:t> </w:t>
                  </w:r>
                  <w:r>
                    <w:rPr>
                      <w:rStyle w:val="8"/>
                      <w:rFonts w:hint="eastAsia" w:ascii="宋体" w:hAnsi="宋体" w:eastAsia="宋体" w:cs="宋体"/>
                      <w:b/>
                      <w:bCs/>
                      <w:color w:val="404040"/>
                      <w:sz w:val="24"/>
                      <w:szCs w:val="24"/>
                      <w:lang w:val="en-US" w:eastAsia="zh-CN"/>
                    </w:rPr>
                    <w:t xml:space="preserve"> </w:t>
                  </w:r>
                  <w:r>
                    <w:rPr>
                      <w:rStyle w:val="8"/>
                      <w:rFonts w:hint="eastAsia" w:ascii="宋体" w:hAnsi="宋体" w:eastAsia="宋体" w:cs="宋体"/>
                      <w:b/>
                      <w:bCs/>
                      <w:color w:val="404040"/>
                      <w:sz w:val="24"/>
                      <w:szCs w:val="24"/>
                    </w:rPr>
                    <w:t>人均可支配收入</w:t>
                  </w:r>
                  <w:r>
                    <w:rPr>
                      <w:rStyle w:val="8"/>
                      <w:rFonts w:hint="eastAsia" w:ascii="宋体" w:hAnsi="宋体" w:eastAsia="宋体" w:cs="宋体"/>
                      <w:b/>
                      <w:bCs/>
                      <w:color w:val="404040"/>
                      <w:sz w:val="24"/>
                      <w:szCs w:val="24"/>
                      <w:lang w:eastAsia="zh-CN"/>
                    </w:rPr>
                    <w:t>（元）</w:t>
                  </w:r>
                </w:p>
              </w:tc>
              <w:tc>
                <w:tcPr>
                  <w:tcW w:w="2013"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37710 </w:t>
                  </w:r>
                </w:p>
              </w:tc>
              <w:tc>
                <w:tcPr>
                  <w:tcW w:w="2087"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4.7 </w:t>
                  </w:r>
                </w:p>
              </w:tc>
              <w:tc>
                <w:tcPr>
                  <w:tcW w:w="2129"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46229 </w:t>
                  </w:r>
                </w:p>
              </w:tc>
              <w:tc>
                <w:tcPr>
                  <w:tcW w:w="2195"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工资性收入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31625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4.4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41175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经营净收入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1045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10.5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671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14.9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财产净收入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1941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4.4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2808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single" w:color="auto" w:sz="1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转移净收入</w:t>
                  </w:r>
                </w:p>
              </w:tc>
              <w:tc>
                <w:tcPr>
                  <w:tcW w:w="2013"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3100 </w:t>
                  </w:r>
                </w:p>
              </w:tc>
              <w:tc>
                <w:tcPr>
                  <w:tcW w:w="2087"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5.9 </w:t>
                  </w:r>
                </w:p>
              </w:tc>
              <w:tc>
                <w:tcPr>
                  <w:tcW w:w="2129"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1575 </w:t>
                  </w:r>
                </w:p>
              </w:tc>
              <w:tc>
                <w:tcPr>
                  <w:tcW w:w="2195"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22.6 </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5639" w:hRule="atLeast"/>
        </w:trPr>
        <w:tc>
          <w:tcPr>
            <w:tcW w:w="13236" w:type="dxa"/>
            <w:gridSpan w:val="7"/>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ascii="楷体_GB2312" w:hAnsi="宋体" w:eastAsia="楷体_GB2312" w:cs="宋体"/>
                <w:kern w:val="0"/>
                <w:sz w:val="24"/>
                <w:szCs w:val="24"/>
              </w:rPr>
            </w:pPr>
            <w:r>
              <w:rPr>
                <w:rFonts w:hint="eastAsia" w:ascii="楷体_GB2312" w:hAnsi="宋体" w:eastAsia="楷体_GB2312" w:cs="宋体"/>
                <w:kern w:val="0"/>
                <w:sz w:val="24"/>
                <w:szCs w:val="24"/>
              </w:rPr>
              <w:t>注释：</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kern w:val="0"/>
                <w:sz w:val="24"/>
                <w:szCs w:val="24"/>
              </w:rPr>
            </w:pPr>
            <w:r>
              <w:rPr>
                <w:rFonts w:hint="eastAsia" w:ascii="楷体_GB2312" w:hAnsi="宋体" w:eastAsia="楷体_GB2312" w:cs="宋体"/>
                <w:b/>
                <w:kern w:val="0"/>
                <w:sz w:val="24"/>
                <w:szCs w:val="24"/>
              </w:rPr>
              <w:t>统计范围：</w:t>
            </w:r>
            <w:r>
              <w:rPr>
                <w:rFonts w:hint="eastAsia" w:ascii="楷体_GB2312" w:hAnsi="宋体" w:eastAsia="楷体_GB2312" w:cs="宋体"/>
                <w:b w:val="0"/>
                <w:bCs/>
                <w:kern w:val="0"/>
                <w:sz w:val="24"/>
                <w:szCs w:val="24"/>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2、</w:t>
            </w:r>
            <w:r>
              <w:rPr>
                <w:rFonts w:hint="eastAsia" w:ascii="楷体_GB2312" w:hAnsi="宋体" w:eastAsia="楷体_GB2312" w:cs="宋体"/>
                <w:b/>
                <w:kern w:val="0"/>
                <w:sz w:val="24"/>
                <w:szCs w:val="24"/>
              </w:rPr>
              <w:t>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lang w:val="en-US" w:eastAsia="zh-CN"/>
              </w:rPr>
            </w:pPr>
            <w:r>
              <w:rPr>
                <w:rFonts w:hint="eastAsia" w:ascii="楷体_GB2312" w:hAnsi="宋体" w:eastAsia="楷体_GB2312" w:cs="宋体"/>
                <w:b w:val="0"/>
                <w:bCs/>
                <w:kern w:val="0"/>
                <w:sz w:val="24"/>
                <w:szCs w:val="24"/>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计入“非收入所得”</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转移净收入：指国家、单位、社会团体对住户的各种经常性转移支付和住户之间的经常性收入转移，在扣减调查户对国家、单位、住户或者个人的经常性或义务性转移支付后的净收入。</w:t>
            </w:r>
          </w:p>
        </w:tc>
      </w:tr>
    </w:tbl>
    <w:tbl>
      <w:tblPr>
        <w:tblStyle w:val="6"/>
        <w:tblpPr w:leftFromText="180" w:rightFromText="180" w:vertAnchor="text" w:horzAnchor="page" w:tblpX="1790" w:tblpY="296"/>
        <w:tblOverlap w:val="never"/>
        <w:tblW w:w="13600" w:type="dxa"/>
        <w:tblInd w:w="0" w:type="dxa"/>
        <w:tblLayout w:type="fixed"/>
        <w:tblCellMar>
          <w:top w:w="0" w:type="dxa"/>
          <w:left w:w="0" w:type="dxa"/>
          <w:bottom w:w="0" w:type="dxa"/>
          <w:right w:w="0" w:type="dxa"/>
        </w:tblCellMar>
      </w:tblPr>
      <w:tblGrid>
        <w:gridCol w:w="5045"/>
        <w:gridCol w:w="2194"/>
        <w:gridCol w:w="2193"/>
        <w:gridCol w:w="1974"/>
        <w:gridCol w:w="2194"/>
      </w:tblGrid>
      <w:tr>
        <w:tblPrEx>
          <w:tblCellMar>
            <w:top w:w="0" w:type="dxa"/>
            <w:left w:w="0" w:type="dxa"/>
            <w:bottom w:w="0" w:type="dxa"/>
            <w:right w:w="0" w:type="dxa"/>
          </w:tblCellMar>
        </w:tblPrEx>
        <w:trPr>
          <w:trHeight w:val="694" w:hRule="exact"/>
        </w:trPr>
        <w:tc>
          <w:tcPr>
            <w:tcW w:w="13600" w:type="dxa"/>
            <w:gridSpan w:val="5"/>
            <w:tcBorders>
              <w:top w:val="nil"/>
              <w:left w:val="nil"/>
              <w:bottom w:val="single" w:color="auto" w:sz="12" w:space="0"/>
              <w:right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color w:val="404040"/>
                <w:sz w:val="30"/>
                <w:szCs w:val="30"/>
              </w:rPr>
            </w:pPr>
            <w:r>
              <w:rPr>
                <w:rFonts w:hint="eastAsia" w:ascii="Times New Roman" w:hAnsi="Times New Roman" w:eastAsia="宋体" w:cs="Times New Roman"/>
                <w:b/>
                <w:color w:val="0000FF"/>
                <w:kern w:val="2"/>
                <w:sz w:val="36"/>
                <w:szCs w:val="36"/>
                <w:lang w:val="en-US" w:eastAsia="zh-CN" w:bidi="ar-SA"/>
              </w:rPr>
              <w:t>居民收支统计数据：2024年</w:t>
            </w:r>
            <w:r>
              <w:rPr>
                <w:rFonts w:hint="default" w:ascii="Times New Roman" w:hAnsi="Times New Roman" w:eastAsia="宋体" w:cs="Times New Roman"/>
                <w:b/>
                <w:color w:val="0000FF"/>
                <w:kern w:val="2"/>
                <w:sz w:val="36"/>
                <w:szCs w:val="36"/>
                <w:lang w:val="en" w:eastAsia="zh-CN" w:bidi="ar-SA"/>
              </w:rPr>
              <w:t>1-3季</w:t>
            </w:r>
            <w:r>
              <w:rPr>
                <w:rFonts w:hint="eastAsia" w:ascii="Times New Roman" w:hAnsi="Times New Roman" w:eastAsia="宋体" w:cs="Times New Roman"/>
                <w:b/>
                <w:color w:val="0000FF"/>
                <w:kern w:val="2"/>
                <w:sz w:val="36"/>
                <w:szCs w:val="36"/>
                <w:lang w:val="en-US" w:eastAsia="zh-CN" w:bidi="ar-SA"/>
              </w:rPr>
              <w:t>度居民人均消费支出情况</w:t>
            </w:r>
          </w:p>
        </w:tc>
      </w:tr>
      <w:tr>
        <w:tblPrEx>
          <w:tblCellMar>
            <w:top w:w="0" w:type="dxa"/>
            <w:left w:w="0" w:type="dxa"/>
            <w:bottom w:w="0" w:type="dxa"/>
            <w:right w:w="0" w:type="dxa"/>
          </w:tblCellMar>
        </w:tblPrEx>
        <w:trPr>
          <w:trHeight w:val="487" w:hRule="exact"/>
        </w:trPr>
        <w:tc>
          <w:tcPr>
            <w:tcW w:w="5045" w:type="dxa"/>
            <w:vMerge w:val="restart"/>
            <w:tcBorders>
              <w:top w:val="single" w:color="auto" w:sz="12" w:space="0"/>
              <w:left w:val="nil"/>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宋体" w:hAnsi="宋体" w:eastAsia="宋体" w:cs="宋体"/>
                <w:sz w:val="24"/>
                <w:szCs w:val="24"/>
              </w:rPr>
            </w:pPr>
            <w:r>
              <w:rPr>
                <w:rFonts w:hint="eastAsia" w:ascii="宋体" w:hAnsi="宋体" w:eastAsia="宋体" w:cs="宋体"/>
                <w:sz w:val="24"/>
                <w:szCs w:val="24"/>
              </w:rPr>
              <w:t>指 标 名 称</w:t>
            </w:r>
          </w:p>
        </w:tc>
        <w:tc>
          <w:tcPr>
            <w:tcW w:w="4387" w:type="dxa"/>
            <w:gridSpan w:val="2"/>
            <w:tcBorders>
              <w:top w:val="single" w:color="auto" w:sz="1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全区居民</w:t>
            </w:r>
          </w:p>
        </w:tc>
        <w:tc>
          <w:tcPr>
            <w:tcW w:w="4168" w:type="dxa"/>
            <w:gridSpan w:val="2"/>
            <w:tcBorders>
              <w:top w:val="single" w:color="auto" w:sz="12" w:space="0"/>
              <w:left w:val="single" w:color="auto" w:sz="2" w:space="0"/>
              <w:bottom w:val="single" w:color="auto" w:sz="2" w:space="0"/>
              <w:right w:val="nil"/>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城镇居民</w:t>
            </w:r>
          </w:p>
        </w:tc>
      </w:tr>
      <w:tr>
        <w:tblPrEx>
          <w:tblCellMar>
            <w:top w:w="0" w:type="dxa"/>
            <w:left w:w="0" w:type="dxa"/>
            <w:bottom w:w="0" w:type="dxa"/>
            <w:right w:w="0" w:type="dxa"/>
          </w:tblCellMar>
        </w:tblPrEx>
        <w:trPr>
          <w:trHeight w:val="536" w:hRule="exact"/>
        </w:trPr>
        <w:tc>
          <w:tcPr>
            <w:tcW w:w="5045" w:type="dxa"/>
            <w:vMerge w:val="continue"/>
            <w:tcBorders>
              <w:top w:val="single" w:color="auto" w:sz="2" w:space="0"/>
              <w:left w:val="nil"/>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宋体" w:hAnsi="宋体" w:eastAsia="宋体" w:cs="宋体"/>
                <w:sz w:val="24"/>
                <w:szCs w:val="24"/>
              </w:rPr>
            </w:pPr>
          </w:p>
        </w:tc>
        <w:tc>
          <w:tcPr>
            <w:tcW w:w="2194"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cs="宋体"/>
                <w:b w:val="0"/>
                <w:bCs/>
                <w:color w:val="404040"/>
                <w:sz w:val="24"/>
                <w:szCs w:val="24"/>
                <w:lang w:eastAsia="zh-CN"/>
              </w:rPr>
              <w:t>2024年</w:t>
            </w:r>
            <w:r>
              <w:rPr>
                <w:rStyle w:val="8"/>
                <w:rFonts w:hint="default" w:ascii="宋体" w:hAnsi="宋体" w:cs="宋体"/>
                <w:b w:val="0"/>
                <w:bCs/>
                <w:color w:val="404040"/>
                <w:sz w:val="24"/>
                <w:szCs w:val="24"/>
                <w:lang w:val="en" w:eastAsia="zh-CN"/>
              </w:rPr>
              <w:t>1-3季</w:t>
            </w:r>
            <w:r>
              <w:rPr>
                <w:rStyle w:val="8"/>
                <w:rFonts w:hint="eastAsia" w:ascii="宋体" w:hAnsi="宋体" w:cs="宋体"/>
                <w:b w:val="0"/>
                <w:bCs/>
                <w:color w:val="404040"/>
                <w:sz w:val="24"/>
                <w:szCs w:val="24"/>
                <w:lang w:eastAsia="zh-CN"/>
              </w:rPr>
              <w:t>度</w:t>
            </w:r>
          </w:p>
        </w:tc>
        <w:tc>
          <w:tcPr>
            <w:tcW w:w="2193"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c>
          <w:tcPr>
            <w:tcW w:w="1974"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cs="宋体"/>
                <w:b w:val="0"/>
                <w:bCs/>
                <w:color w:val="404040"/>
                <w:sz w:val="24"/>
                <w:szCs w:val="24"/>
                <w:lang w:eastAsia="zh-CN"/>
              </w:rPr>
              <w:t>2024年</w:t>
            </w:r>
            <w:r>
              <w:rPr>
                <w:rStyle w:val="8"/>
                <w:rFonts w:hint="default" w:ascii="宋体" w:hAnsi="宋体" w:cs="宋体"/>
                <w:b w:val="0"/>
                <w:bCs/>
                <w:color w:val="404040"/>
                <w:sz w:val="24"/>
                <w:szCs w:val="24"/>
                <w:lang w:val="en" w:eastAsia="zh-CN"/>
              </w:rPr>
              <w:t>1-3季</w:t>
            </w:r>
            <w:r>
              <w:rPr>
                <w:rStyle w:val="8"/>
                <w:rFonts w:hint="eastAsia" w:ascii="宋体" w:hAnsi="宋体" w:cs="宋体"/>
                <w:b w:val="0"/>
                <w:bCs/>
                <w:color w:val="404040"/>
                <w:sz w:val="24"/>
                <w:szCs w:val="24"/>
                <w:lang w:eastAsia="zh-CN"/>
              </w:rPr>
              <w:t>度</w:t>
            </w:r>
          </w:p>
        </w:tc>
        <w:tc>
          <w:tcPr>
            <w:tcW w:w="2194" w:type="dxa"/>
            <w:tcBorders>
              <w:top w:val="single" w:color="auto" w:sz="2" w:space="0"/>
              <w:left w:val="single" w:color="auto" w:sz="2" w:space="0"/>
              <w:bottom w:val="single" w:color="auto" w:sz="2" w:space="0"/>
              <w:right w:val="nil"/>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r>
      <w:tr>
        <w:tblPrEx>
          <w:tblCellMar>
            <w:top w:w="0" w:type="dxa"/>
            <w:left w:w="0" w:type="dxa"/>
            <w:bottom w:w="0" w:type="dxa"/>
            <w:right w:w="0" w:type="dxa"/>
          </w:tblCellMar>
        </w:tblPrEx>
        <w:trPr>
          <w:trHeight w:val="413" w:hRule="exact"/>
        </w:trPr>
        <w:tc>
          <w:tcPr>
            <w:tcW w:w="5045" w:type="dxa"/>
            <w:tcBorders>
              <w:top w:val="single" w:color="auto" w:sz="2" w:space="0"/>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240" w:firstLineChars="100"/>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人均消费支出</w:t>
            </w:r>
            <w:r>
              <w:rPr>
                <w:rFonts w:hint="eastAsia" w:ascii="宋体" w:hAnsi="宋体" w:cs="宋体"/>
                <w:b/>
                <w:bCs/>
                <w:sz w:val="24"/>
                <w:szCs w:val="24"/>
                <w:lang w:eastAsia="zh-CN"/>
              </w:rPr>
              <w:t>（元）</w:t>
            </w:r>
          </w:p>
        </w:tc>
        <w:tc>
          <w:tcPr>
            <w:tcW w:w="2194"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22339 </w:t>
            </w:r>
          </w:p>
        </w:tc>
        <w:tc>
          <w:tcPr>
            <w:tcW w:w="2193"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2.0 </w:t>
            </w:r>
          </w:p>
        </w:tc>
        <w:tc>
          <w:tcPr>
            <w:tcW w:w="1974"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26605 </w:t>
            </w:r>
          </w:p>
        </w:tc>
        <w:tc>
          <w:tcPr>
            <w:tcW w:w="2194" w:type="dxa"/>
            <w:tcBorders>
              <w:top w:val="single" w:color="auto" w:sz="2" w:space="0"/>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3.0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食品烟酒</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5625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2.1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6311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0.4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衣着</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1061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-8.8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1340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-10.1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居住</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6174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-3.8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7511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3.9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生活用品及服务</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1196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0.3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1458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2.3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交通和通信</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3155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-3.0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3773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-5.7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教育文化娱乐</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1823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17.5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2547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19.4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医疗保健</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2669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24.4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2814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21.3 </w:t>
            </w:r>
          </w:p>
        </w:tc>
      </w:tr>
      <w:tr>
        <w:tblPrEx>
          <w:tblCellMar>
            <w:top w:w="0" w:type="dxa"/>
            <w:left w:w="0" w:type="dxa"/>
            <w:bottom w:w="0" w:type="dxa"/>
            <w:right w:w="0" w:type="dxa"/>
          </w:tblCellMar>
        </w:tblPrEx>
        <w:trPr>
          <w:trHeight w:val="413" w:hRule="exact"/>
        </w:trPr>
        <w:tc>
          <w:tcPr>
            <w:tcW w:w="5045" w:type="dxa"/>
            <w:tcBorders>
              <w:top w:val="nil"/>
              <w:left w:val="nil"/>
              <w:bottom w:val="single" w:color="auto" w:sz="1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其他用品及服务</w:t>
            </w:r>
          </w:p>
        </w:tc>
        <w:tc>
          <w:tcPr>
            <w:tcW w:w="2194"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636 </w:t>
            </w:r>
          </w:p>
        </w:tc>
        <w:tc>
          <w:tcPr>
            <w:tcW w:w="2193"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-6.1 </w:t>
            </w:r>
          </w:p>
        </w:tc>
        <w:tc>
          <w:tcPr>
            <w:tcW w:w="1974"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853 </w:t>
            </w:r>
          </w:p>
        </w:tc>
        <w:tc>
          <w:tcPr>
            <w:tcW w:w="2194" w:type="dxa"/>
            <w:tcBorders>
              <w:top w:val="nil"/>
              <w:left w:val="single" w:color="auto" w:sz="2" w:space="0"/>
              <w:bottom w:val="single" w:color="auto" w:sz="12" w:space="0"/>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-9.5 </w:t>
            </w:r>
          </w:p>
        </w:tc>
      </w:tr>
    </w:tbl>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0"/>
          <w:sz w:val="24"/>
          <w:szCs w:val="24"/>
        </w:rPr>
      </w:pPr>
      <w:r>
        <w:rPr>
          <w:rFonts w:hint="eastAsia" w:ascii="楷体_GB2312" w:hAnsi="宋体" w:eastAsia="楷体_GB2312" w:cs="宋体"/>
          <w:kern w:val="0"/>
          <w:sz w:val="24"/>
          <w:szCs w:val="24"/>
        </w:rPr>
        <w:t>注释：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default" w:ascii="楷体_GB2312" w:hAnsi="宋体" w:eastAsia="楷体_GB2312" w:cs="宋体"/>
          <w:b w:val="0"/>
          <w:bCs/>
          <w:kern w:val="0"/>
          <w:sz w:val="24"/>
          <w:szCs w:val="24"/>
          <w:lang w:val="en" w:eastAsia="zh-CN" w:bidi="ar-SA"/>
        </w:rPr>
      </w:pPr>
      <w:r>
        <w:rPr>
          <w:rFonts w:hint="eastAsia" w:hAnsi="宋体" w:eastAsia="楷体_GB2312" w:cs="宋体"/>
          <w:b/>
          <w:kern w:val="0"/>
          <w:sz w:val="24"/>
          <w:szCs w:val="24"/>
          <w:lang w:val="en-US" w:eastAsia="zh-CN" w:bidi="ar-SA"/>
        </w:rPr>
        <w:t>1、</w:t>
      </w:r>
      <w:r>
        <w:rPr>
          <w:rFonts w:hint="default" w:ascii="楷体_GB2312" w:hAnsi="宋体" w:eastAsia="楷体_GB2312" w:cs="宋体"/>
          <w:b/>
          <w:kern w:val="0"/>
          <w:sz w:val="24"/>
          <w:szCs w:val="24"/>
          <w:lang w:val="en" w:eastAsia="zh-CN" w:bidi="ar-SA"/>
        </w:rPr>
        <w:t>统计范围：</w:t>
      </w:r>
      <w:r>
        <w:rPr>
          <w:rFonts w:hint="default" w:ascii="楷体_GB2312" w:hAnsi="宋体" w:eastAsia="楷体_GB2312" w:cs="宋体"/>
          <w:b w:val="0"/>
          <w:bCs/>
          <w:kern w:val="0"/>
          <w:sz w:val="24"/>
          <w:szCs w:val="24"/>
          <w:lang w:val="en" w:eastAsia="zh-CN" w:bidi="ar-SA"/>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default" w:ascii="楷体_GB2312" w:hAnsi="宋体" w:eastAsia="楷体_GB2312" w:cs="宋体"/>
          <w:b w:val="0"/>
          <w:bCs/>
          <w:kern w:val="0"/>
          <w:sz w:val="24"/>
          <w:szCs w:val="24"/>
          <w:lang w:val="en" w:eastAsia="zh-CN" w:bidi="ar-SA"/>
        </w:rPr>
      </w:pPr>
      <w:r>
        <w:rPr>
          <w:rFonts w:hint="default" w:ascii="楷体_GB2312" w:hAnsi="宋体" w:eastAsia="楷体_GB2312" w:cs="宋体"/>
          <w:b w:val="0"/>
          <w:bCs/>
          <w:kern w:val="0"/>
          <w:sz w:val="24"/>
          <w:szCs w:val="24"/>
          <w:lang w:val="en" w:eastAsia="zh-CN" w:bidi="ar-SA"/>
        </w:rPr>
        <w:t>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rPr>
        <w:t>2、采集渠道：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kinsoku/>
        <w:wordWrap/>
        <w:overflowPunct/>
        <w:topLinePunct w:val="0"/>
        <w:autoSpaceDE/>
        <w:autoSpaceDN/>
        <w:bidi w:val="0"/>
        <w:adjustRightInd w:val="0"/>
        <w:snapToGrid w:val="0"/>
        <w:jc w:val="left"/>
        <w:outlineLvl w:val="9"/>
        <w:rPr>
          <w:rFonts w:hint="eastAsia"/>
          <w:b/>
          <w:color w:val="0000FF"/>
          <w:sz w:val="24"/>
          <w:szCs w:val="24"/>
          <w:lang w:eastAsia="zh-CN"/>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消费支出：指住户用于满足家庭日常生活消费需要的全部支出，包括用于消费品的支出和用于服务性消费的支出。根据用途不同，消费支出可划分为食品烟酒、衣着、居住、生活用品及服务、交通通信、教育文化娱乐、医疗保健、其他用品及服务八大类。食品烟酒：指用于各种食品和烟草、酒类的支出。衣着：指与居民穿着有关的支出，包括服装、服装材料、鞋类、其他衣类及配件、衣着相关加工服务的支出。居住：指与居住相关的支出，包括房租、水、电、燃料、物业管理等方面的支出，也包括自有住房折算租金。生活用品及服务：指家庭及个人的各类生活品及家庭服务。包括家具及室内装饰品、家用器具、家用纺织品、家庭日用杂品、个人用品和家庭服务。交通通信：指用于交通和通信工具及相关的各种服务费、维修费和车辆保险等支出。教育文化娱乐：指用于教育和文化娱乐方面的支出。医疗保健：指用于医疗和保健的药品、用品和服务的总费用。包括医疗器具及药品，以及医疗服务。其他用品及服务：指无法直接归入上述各类支出的其他用品和服务支出。</w:t>
      </w:r>
    </w:p>
    <w:p>
      <w:pPr>
        <w:pStyle w:val="2"/>
        <w:keepNext w:val="0"/>
        <w:keepLines w:val="0"/>
        <w:pageBreakBefore w:val="0"/>
        <w:kinsoku/>
        <w:wordWrap/>
        <w:overflowPunct/>
        <w:topLinePunct w:val="0"/>
        <w:autoSpaceDE/>
        <w:autoSpaceDN/>
        <w:bidi w:val="0"/>
        <w:adjustRightInd w:val="0"/>
        <w:snapToGrid w:val="0"/>
        <w:outlineLvl w:val="9"/>
        <w:rPr>
          <w:rFonts w:hint="eastAsia"/>
          <w:lang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58446"/>
    <w:multiLevelType w:val="singleLevel"/>
    <w:tmpl w:val="166584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D5F0FB0"/>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ADF51BC"/>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AB96BE"/>
    <w:rsid w:val="3FDB5DF1"/>
    <w:rsid w:val="3FDED793"/>
    <w:rsid w:val="3FDF4110"/>
    <w:rsid w:val="3FFE10C8"/>
    <w:rsid w:val="401D61C0"/>
    <w:rsid w:val="414B607C"/>
    <w:rsid w:val="41A3549E"/>
    <w:rsid w:val="426042E3"/>
    <w:rsid w:val="42D90AF2"/>
    <w:rsid w:val="440C601A"/>
    <w:rsid w:val="441A04D4"/>
    <w:rsid w:val="46216826"/>
    <w:rsid w:val="475234D8"/>
    <w:rsid w:val="476A13E8"/>
    <w:rsid w:val="47790412"/>
    <w:rsid w:val="47A86E6D"/>
    <w:rsid w:val="47E027CA"/>
    <w:rsid w:val="47FEAB4D"/>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71080D89"/>
    <w:rsid w:val="7175080B"/>
    <w:rsid w:val="7186F4B4"/>
    <w:rsid w:val="726A1098"/>
    <w:rsid w:val="737B2704"/>
    <w:rsid w:val="73A6F0C8"/>
    <w:rsid w:val="73CC0211"/>
    <w:rsid w:val="73EFABBB"/>
    <w:rsid w:val="741F23A4"/>
    <w:rsid w:val="74501C96"/>
    <w:rsid w:val="75E61BEE"/>
    <w:rsid w:val="75EE766E"/>
    <w:rsid w:val="75F745C8"/>
    <w:rsid w:val="7607511D"/>
    <w:rsid w:val="765833C3"/>
    <w:rsid w:val="77166765"/>
    <w:rsid w:val="7720627A"/>
    <w:rsid w:val="778962BC"/>
    <w:rsid w:val="779A77AC"/>
    <w:rsid w:val="77E9D9C2"/>
    <w:rsid w:val="77F30C7B"/>
    <w:rsid w:val="78B553DE"/>
    <w:rsid w:val="78E85C94"/>
    <w:rsid w:val="7917ABEF"/>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F1879BC"/>
    <w:rsid w:val="7F3A5975"/>
    <w:rsid w:val="7FE5E5AE"/>
    <w:rsid w:val="7FED97DC"/>
    <w:rsid w:val="81EB3C3A"/>
    <w:rsid w:val="8CDA845A"/>
    <w:rsid w:val="99B77EE0"/>
    <w:rsid w:val="9FED37BA"/>
    <w:rsid w:val="B1E636EE"/>
    <w:rsid w:val="BDF6F2E2"/>
    <w:rsid w:val="BF69E885"/>
    <w:rsid w:val="BFB650B6"/>
    <w:rsid w:val="C6FCE371"/>
    <w:rsid w:val="CD3B0D55"/>
    <w:rsid w:val="CEE987AF"/>
    <w:rsid w:val="D57D44D0"/>
    <w:rsid w:val="D7EE2A06"/>
    <w:rsid w:val="DBB74874"/>
    <w:rsid w:val="DDF6AF67"/>
    <w:rsid w:val="DF7BDF92"/>
    <w:rsid w:val="DF8DE048"/>
    <w:rsid w:val="DFAB23FE"/>
    <w:rsid w:val="DFBFE4DB"/>
    <w:rsid w:val="DFFB9D36"/>
    <w:rsid w:val="E7F7B4E4"/>
    <w:rsid w:val="E7FDA2F2"/>
    <w:rsid w:val="EA6790F0"/>
    <w:rsid w:val="EBF5BF5A"/>
    <w:rsid w:val="EDFE27A9"/>
    <w:rsid w:val="EEFF3E89"/>
    <w:rsid w:val="EF7D7BB4"/>
    <w:rsid w:val="F047853D"/>
    <w:rsid w:val="F2ECBDBB"/>
    <w:rsid w:val="F5FF6C02"/>
    <w:rsid w:val="F69F3012"/>
    <w:rsid w:val="F6FE7D1F"/>
    <w:rsid w:val="F7BFE11D"/>
    <w:rsid w:val="F96F5BF4"/>
    <w:rsid w:val="FBDF6E2B"/>
    <w:rsid w:val="FE3F8DB9"/>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2020-08-09T09:20:00Z</dcterms:created>
  <dc:creator>NTKO</dc:creator>
  <cp:lastModifiedBy>zhk</cp:lastModifiedBy>
  <cp:lastPrinted>2024-07-31T02:28:00Z</cp:lastPrinted>
  <dcterms:modified xsi:type="dcterms:W3CDTF">2024-10-30T10:22:48Z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