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2025年1-2月密云区经济运行起步平稳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1-2月，密云区坚持稳中求进工作总基调，深入贯彻落实各级决策部署，高频高位调度，在各部门各镇街共同努力下，全区经济顶住压力、成效明显，工业、投资快速增长，消费有所改善，全区经济起步平稳，为一季度实现“开门红”打下坚实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一、工业生产两位数增长，汽车制造业增长显著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1-2月，密云区140家规模以上工业企业实现工业总产值39.7亿元，同比增长10.6%，主要受汽车制造业带动；实现销售产值40.6亿元，同比增长16.3%，实现出口交货值2.1亿元，同比增长7.1%。从高端制造业看，高技术制造业实现产值6.3亿元，同比增长4%；“专精特新”规模以上工业实现产值12.8亿元，同比下降4.3%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从重点行业看，汽车制造业实现产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12.7亿元，同比增长81.1%；酒、饮料和精制茶制造业实现产值6.8亿元，同比下降2.9%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；医药制造业实现产值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6亿元，同比增长4.8%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2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二、固定资产投资快速增长，房地产开发带动显著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1-2月，全区固定资产投资同比增长80.3%，主要受房地产开发投资带动。从投资结构看，建安投资同比增长6.7%，占全区固定资产投资的比重为35.3%；设备工器具购置投资同比增长73.6%，占全区固定资产投资的比重为22.3%；其他费用同比增长3.4倍，占比为42.4%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重点投资领域看，房地产开发投资同比增长1.8倍，拉动全区固定资产投资增长60.4个百分点，主要是受国祥星宸、长安新村棚户区改造、国祥誉等项目带动；基础设施投资同比下降29.1%；高技术领域投资同比下降59.7%，主要是今年1-2月完成投资额较大的项目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2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三、消费领域有所恢复，线下店铺增长压力仍大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1-2月，全区实现社会消费品零售总额31.3亿元，同比下降4.2%，降幅较上年同期收窄1.2个百分点，较2024年全年收窄2.9个百分点，其中限额以上商业单位通过公共网络实现零售额7.3亿元，同比下降10%，下拉全区社零总额增速2.5个百分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消费形态看，实现商品零售29.6亿元，同比下降4.2%；餐饮收入1.7亿元，同比下降4.1%。从线下店铺零售情况看，1-2月全区限额以上零售业有店铺零售同比下降12.8%，其中超市零售额同比下降16.9%，专业店零售额下降19.3%，品牌专卖店零售额下降5.1%，实体店铺零售增长压力依然较大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附表：202</w:t>
      </w:r>
      <w:r>
        <w:rPr>
          <w:rFonts w:hint="eastAsia" w:hAnsi="宋体" w:eastAsia="仿宋_GB2312"/>
          <w:b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年1-</w:t>
      </w:r>
      <w:r>
        <w:rPr>
          <w:rFonts w:hint="eastAsia" w:hAnsi="宋体" w:eastAsia="仿宋_GB2312"/>
          <w:b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月主要经济指标实现情况</w:t>
      </w:r>
    </w:p>
    <w:p>
      <w:pP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</w:pPr>
    </w:p>
    <w:p>
      <w:pPr>
        <w:pageBreakBefore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附表               </w:t>
      </w:r>
      <w:r>
        <w:rPr>
          <w:rFonts w:hint="default" w:ascii="宋体" w:hAnsi="宋体" w:cs="宋体"/>
          <w:b/>
          <w:i w:val="0"/>
          <w:color w:val="000000"/>
          <w:kern w:val="0"/>
          <w:sz w:val="24"/>
          <w:szCs w:val="24"/>
          <w:u w:val="none"/>
          <w:lang w:val="en" w:eastAsia="zh-CN" w:bidi="ar"/>
        </w:rPr>
        <w:t xml:space="preserve">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202</w:t>
      </w:r>
      <w:r>
        <w:rPr>
          <w:rFonts w:hint="eastAsia" w:ascii="宋体" w:hAnsi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年1-2月主要经济指标实现情况</w:t>
      </w: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0"/>
        <w:gridCol w:w="1016"/>
        <w:gridCol w:w="989"/>
        <w:gridCol w:w="1021"/>
        <w:gridCol w:w="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 标 名 称</w:t>
            </w:r>
          </w:p>
        </w:tc>
        <w:tc>
          <w:tcPr>
            <w:tcW w:w="59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8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</w:t>
            </w:r>
          </w:p>
        </w:tc>
        <w:tc>
          <w:tcPr>
            <w:tcW w:w="59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同期</w:t>
            </w:r>
          </w:p>
        </w:tc>
        <w:tc>
          <w:tcPr>
            <w:tcW w:w="57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固定资产投资（项目建设地）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576" w:type="pct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固定资产投资（不含农户）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其中：建安投资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房地产开发投资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  业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规模以上工业总产值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39.7 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35.9 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  其中：汽车制造业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12.7 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　　      医药制造业 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 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        酒、饮料和精制茶制造业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6.8 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商品房销售面积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万平方米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-67.4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批发和零售、住宿和餐饮业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9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47" w:type="pct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社会消费品零售总额</w:t>
            </w:r>
          </w:p>
        </w:tc>
        <w:tc>
          <w:tcPr>
            <w:tcW w:w="596" w:type="pc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31.3 </w:t>
            </w:r>
          </w:p>
        </w:tc>
        <w:tc>
          <w:tcPr>
            <w:tcW w:w="1021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32.7 </w:t>
            </w: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-4.2 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2170430</wp:posOffset>
              </wp:positionH>
              <wp:positionV relativeFrom="paragraph">
                <wp:posOffset>-82550</wp:posOffset>
              </wp:positionV>
              <wp:extent cx="728980" cy="2698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2898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0.9pt;margin-top:-6.5pt;height:21.25pt;width:57.4pt;mso-position-horizontal-relative:margin;z-index:251658240;mso-width-relative:page;mso-height-relative:page;" filled="f" stroked="f" coordsize="21600,21600" o:gfxdata="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BBHsFPaAAAACgEAAA8AAAAAAAAAAQAgAAAAOAAAAGRycy9kb3du&#10;cmV2LnhtbFBLAQIUABQAAAAIAIdO4kA9jQxVIAIAACkEAAAOAAAAAAAAAAEAIAAAAD8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4529D"/>
    <w:rsid w:val="00E775B6"/>
    <w:rsid w:val="021304B4"/>
    <w:rsid w:val="064D328F"/>
    <w:rsid w:val="096054A4"/>
    <w:rsid w:val="099D6F42"/>
    <w:rsid w:val="0AD77ACA"/>
    <w:rsid w:val="0C993461"/>
    <w:rsid w:val="0CA36702"/>
    <w:rsid w:val="0D1C2EC6"/>
    <w:rsid w:val="10335321"/>
    <w:rsid w:val="10837710"/>
    <w:rsid w:val="10F3503E"/>
    <w:rsid w:val="15CE4467"/>
    <w:rsid w:val="1A3A3633"/>
    <w:rsid w:val="1E360F4E"/>
    <w:rsid w:val="1EF32FF2"/>
    <w:rsid w:val="214C5B14"/>
    <w:rsid w:val="24F02CD9"/>
    <w:rsid w:val="25973775"/>
    <w:rsid w:val="29D050B3"/>
    <w:rsid w:val="2A0730C3"/>
    <w:rsid w:val="2D516F65"/>
    <w:rsid w:val="2DD71B1F"/>
    <w:rsid w:val="2F607D76"/>
    <w:rsid w:val="32175C22"/>
    <w:rsid w:val="325F74AF"/>
    <w:rsid w:val="332226E6"/>
    <w:rsid w:val="341D5A01"/>
    <w:rsid w:val="357B1037"/>
    <w:rsid w:val="35F47A44"/>
    <w:rsid w:val="36DD7A14"/>
    <w:rsid w:val="38AF2C7E"/>
    <w:rsid w:val="38DC6C98"/>
    <w:rsid w:val="38F70A45"/>
    <w:rsid w:val="3C880C53"/>
    <w:rsid w:val="3E7D4EBE"/>
    <w:rsid w:val="3F1E0326"/>
    <w:rsid w:val="42EF0087"/>
    <w:rsid w:val="4384686B"/>
    <w:rsid w:val="44573ACA"/>
    <w:rsid w:val="44784029"/>
    <w:rsid w:val="44A11925"/>
    <w:rsid w:val="4728282D"/>
    <w:rsid w:val="47632FAB"/>
    <w:rsid w:val="48087544"/>
    <w:rsid w:val="49031911"/>
    <w:rsid w:val="4AA52A63"/>
    <w:rsid w:val="4AFE1FF7"/>
    <w:rsid w:val="4BA25901"/>
    <w:rsid w:val="4BBE7279"/>
    <w:rsid w:val="4CB47586"/>
    <w:rsid w:val="50E71783"/>
    <w:rsid w:val="50F96D34"/>
    <w:rsid w:val="510657A6"/>
    <w:rsid w:val="51A91F26"/>
    <w:rsid w:val="51BF1A02"/>
    <w:rsid w:val="52250541"/>
    <w:rsid w:val="53906DC4"/>
    <w:rsid w:val="54DB5466"/>
    <w:rsid w:val="55933EC4"/>
    <w:rsid w:val="576F147A"/>
    <w:rsid w:val="57AF3F6F"/>
    <w:rsid w:val="57BD6DC7"/>
    <w:rsid w:val="57EE4AC3"/>
    <w:rsid w:val="587955FB"/>
    <w:rsid w:val="595416E2"/>
    <w:rsid w:val="5A5F6874"/>
    <w:rsid w:val="5D594A21"/>
    <w:rsid w:val="5E76657C"/>
    <w:rsid w:val="5FD113BB"/>
    <w:rsid w:val="608D6A29"/>
    <w:rsid w:val="63AD0F82"/>
    <w:rsid w:val="63D73DD8"/>
    <w:rsid w:val="65463B95"/>
    <w:rsid w:val="659A3A75"/>
    <w:rsid w:val="65BF1193"/>
    <w:rsid w:val="679868C0"/>
    <w:rsid w:val="688473AF"/>
    <w:rsid w:val="6C032ADE"/>
    <w:rsid w:val="6E6050E3"/>
    <w:rsid w:val="6E964F9B"/>
    <w:rsid w:val="6F8424F2"/>
    <w:rsid w:val="70210C94"/>
    <w:rsid w:val="756334C2"/>
    <w:rsid w:val="76310808"/>
    <w:rsid w:val="77F81D02"/>
    <w:rsid w:val="79A87788"/>
    <w:rsid w:val="7A540C7C"/>
    <w:rsid w:val="7A5B5CDA"/>
    <w:rsid w:val="7BA45232"/>
    <w:rsid w:val="7D934FDC"/>
    <w:rsid w:val="DFF3A7DD"/>
    <w:rsid w:val="EFABA247"/>
    <w:rsid w:val="F7FFB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paragraph" w:styleId="3">
    <w:name w:val="annotation text"/>
    <w:basedOn w:val="1"/>
    <w:link w:val="10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Body Text"/>
    <w:basedOn w:val="1"/>
    <w:next w:val="1"/>
    <w:qFormat/>
    <w:uiPriority w:val="0"/>
    <w:pPr>
      <w:jc w:val="center"/>
    </w:pPr>
    <w:rPr>
      <w:rFonts w:ascii="仿宋_GB2312"/>
      <w:b/>
      <w:sz w:val="36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批注文字 Char"/>
    <w:basedOn w:val="9"/>
    <w:link w:val="3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7</Pages>
  <Words>2433</Words>
  <Characters>2852</Characters>
  <Lines>0</Lines>
  <Paragraphs>0</Paragraphs>
  <TotalTime>0</TotalTime>
  <ScaleCrop>false</ScaleCrop>
  <LinksUpToDate>false</LinksUpToDate>
  <CharactersWithSpaces>2894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NTKO</dc:creator>
  <cp:lastModifiedBy>zhk</cp:lastModifiedBy>
  <dcterms:modified xsi:type="dcterms:W3CDTF">2025-03-25T09:47:35Z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