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clear"/>
        <w:spacing w:before="0" w:line="240" w:lineRule="auto"/>
        <w:jc w:val="center"/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Times New Roman" w:eastAsia="仿宋_GB2312" w:cs="Times New Roman"/>
          <w:b/>
          <w:color w:val="0000FF"/>
          <w:sz w:val="32"/>
          <w:szCs w:val="32"/>
          <w:highlight w:val="none"/>
          <w:lang w:val="en-US" w:eastAsia="zh-CN"/>
        </w:rPr>
        <w:t>密云区居民人均可支配收入情况</w:t>
      </w:r>
      <w:bookmarkEnd w:id="0"/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"分享到微信"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"分享到新浪微博"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"分享到QQ好友"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begin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instrText xml:space="preserve"> HYPERLINK "http://tjj.beijing.gov.cn/zxfbu/202101/t20210120_2227651.html" \o "分享到QQ空间" </w:instrText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separate"/>
      </w:r>
      <w:r>
        <w:rPr>
          <w:rFonts w:hint="eastAsia" w:ascii="仿宋_GB2312" w:hAnsi="Times New Roman" w:eastAsia="仿宋_GB2312" w:cs="Times New Roman"/>
          <w:b/>
          <w:color w:val="0000FF"/>
          <w:kern w:val="2"/>
          <w:sz w:val="32"/>
          <w:szCs w:val="32"/>
          <w:highlight w:val="none"/>
          <w:shd w:val="clear"/>
          <w:lang w:bidi="ar"/>
        </w:rPr>
        <w:fldChar w:fldCharType="end"/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据住户收支与生活状况调查资料显示，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区居民人均可支配收入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49341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城镇居民人均可支配收入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60767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4.7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从四项收入构成看，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区居民人均工资性收入</w:t>
      </w:r>
      <w:r>
        <w:rPr>
          <w:rFonts w:hint="default" w:ascii="仿宋_GB2312" w:hAnsi="华文仿宋" w:eastAsia="仿宋_GB2312" w:cs="Times New Roman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9814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3.6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%；人均经营净收入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2456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8.6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%；人均财产净收入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2710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21.2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%；人均转移净收入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4361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元，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同比增长</w:t>
      </w:r>
      <w:r>
        <w:rPr>
          <w:rFonts w:hint="default" w:ascii="仿宋_GB2312" w:hAnsi="华文仿宋" w:eastAsia="仿宋_GB2312"/>
          <w:sz w:val="32"/>
          <w:szCs w:val="32"/>
          <w:highlight w:val="none"/>
          <w:lang w:val="en" w:eastAsia="zh-CN"/>
        </w:rPr>
        <w:t>9</w:t>
      </w:r>
      <w:r>
        <w:rPr>
          <w:rFonts w:hint="eastAsia" w:ascii="仿宋_GB2312" w:hAnsi="华文仿宋" w:eastAsia="仿宋_GB2312"/>
          <w:sz w:val="32"/>
          <w:szCs w:val="32"/>
          <w:highlight w:val="none"/>
          <w:lang w:val="en-US" w:eastAsia="zh-CN"/>
        </w:rPr>
        <w:t>.2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%。</w:t>
      </w:r>
    </w:p>
    <w:p>
      <w:pPr>
        <w:ind w:firstLine="640" w:firstLineChars="200"/>
        <w:rPr>
          <w:rFonts w:hint="eastAsia" w:ascii="仿宋_GB2312" w:hAnsi="华文仿宋" w:eastAsia="仿宋_GB2312" w:cs="Times New Roman"/>
          <w:sz w:val="32"/>
          <w:szCs w:val="32"/>
          <w:highlight w:val="yellow"/>
        </w:rPr>
      </w:pPr>
    </w:p>
    <w:p>
      <w:pPr>
        <w:pStyle w:val="2"/>
        <w:rPr>
          <w:rFonts w:hint="eastAsia" w:ascii="仿宋_GB2312" w:hAnsi="华文仿宋" w:eastAsia="仿宋_GB2312" w:cs="Times New Roman"/>
          <w:sz w:val="32"/>
          <w:szCs w:val="32"/>
          <w:highlight w:val="yellow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A58A5D2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