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成立之日起即具有法人资格所依</w:t>
      </w:r>
      <w:bookmarkStart w:id="0" w:name="_GoBack"/>
      <w:bookmarkEnd w:id="0"/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据的文件</w:t>
      </w:r>
    </w:p>
    <w:p>
      <w:pPr>
        <w:rPr>
          <w:rFonts w:hint="eastAsia" w:ascii="等线" w:hAnsi="等线" w:eastAsia="等线" w:cs="等线"/>
          <w:sz w:val="32"/>
          <w:szCs w:val="36"/>
          <w:lang w:eastAsia="zh-CN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  <w:r>
        <w:rPr>
          <w:rFonts w:hint="eastAsia" w:ascii="等线" w:hAnsi="等线" w:eastAsia="等线" w:cs="等线"/>
          <w:sz w:val="32"/>
          <w:szCs w:val="36"/>
          <w:lang w:eastAsia="zh-CN"/>
        </w:rPr>
        <w:t>；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3.提交的复印件需与原件保持一致。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A5158"/>
    <w:rsid w:val="0B3A1B6F"/>
    <w:rsid w:val="58D25EC9"/>
    <w:rsid w:val="5F2A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2022-08-29T01:13:00Z</dcterms:created>
  <dc:creator>刘子豪</dc:creator>
  <cp:lastModifiedBy>刘子豪</cp:lastModifiedBy>
  <dcterms:modified xsi:type="dcterms:W3CDTF">2022-08-29T01:14:21Z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