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>可行性研究报告批复</w:t>
      </w:r>
    </w:p>
    <w:p>
      <w:pPr>
        <w:spacing w:line="480" w:lineRule="auto"/>
        <w:jc w:val="center"/>
        <w:rPr>
          <w:rFonts w:hint="eastAsia"/>
        </w:rPr>
      </w:pP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 xml:space="preserve">（1）复印件；                                    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（2）完整、清晰且在有效期内；    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（3）超过有效期的在施项目需提供在施确认材料（开工许可文件）；</w:t>
      </w:r>
    </w:p>
    <w:p>
      <w:pPr>
        <w:numPr>
          <w:ilvl w:val="0"/>
          <w:numId w:val="0"/>
        </w:numPr>
        <w:spacing w:line="480" w:lineRule="auto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（4）加盖申报单位公章。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20C57C59"/>
    <w:rsid w:val="4A0E6984"/>
    <w:rsid w:val="7AE3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2023-09-05T02:41:00Z</dcterms:created>
  <dc:creator>WangJiYiLian</dc:creator>
  <cp:lastModifiedBy>VCT</cp:lastModifiedBy>
  <dcterms:modified xsi:type="dcterms:W3CDTF">2023-09-05T03:25:23Z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8F19AAD9D5C946AFBC32F2361988E52A_12</vt:lpwstr>
  </property>
</Properties>
</file>