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修筑工程设施必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要性、工程设施内容、使用林地面积等情况说明</w:t>
      </w:r>
    </w:p>
    <w:p>
      <w:pPr>
        <w:spacing w:line="480" w:lineRule="auto"/>
        <w:rPr>
          <w:sz w:val="21"/>
          <w:szCs w:val="21"/>
        </w:rPr>
      </w:pPr>
    </w:p>
    <w:p>
      <w:pPr>
        <w:spacing w:line="480" w:lineRule="auto"/>
        <w:rPr>
          <w:sz w:val="21"/>
          <w:szCs w:val="21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申报材料包含</w:t>
      </w:r>
      <w:r>
        <w:rPr>
          <w:rFonts w:hint="eastAsia"/>
          <w:sz w:val="21"/>
          <w:szCs w:val="21"/>
        </w:rPr>
        <w:t>修筑工程设施必要性、工程设施内容、使用林地面积等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完整、清晰；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EBBEA"/>
    <w:multiLevelType w:val="singleLevel"/>
    <w:tmpl w:val="D51EBBE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486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2023-09-25T03:00:27Z</dcterms:created>
  <dc:creator>WangJiYiLian</dc:creator>
  <cp:lastModifiedBy>VCT</cp:lastModifiedBy>
  <dcterms:modified xsi:type="dcterms:W3CDTF">2023-09-25T03:02:52Z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4168647902C24779BFC7C1AA0BABB2E6_12</vt:lpwstr>
  </property>
</Properties>
</file>