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北京市密云区城市管理委员会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2021年政府信息公开工作年度报告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sans-serif" w:hAnsi="sans-serif" w:eastAsia="sans-serif" w:cs="sans-serif"/>
          <w:i w:val="0"/>
          <w:caps w:val="0"/>
          <w:color w:val="auto"/>
          <w:spacing w:val="0"/>
          <w:sz w:val="32"/>
          <w:szCs w:val="32"/>
        </w:rPr>
        <w:t>​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依据《中华人民共和国政府信息公开条例》(以下简称《政府信息公开条例》)规定，编制本报告。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城管委认真落实政府信息公开工作的各项要求。坚持以公开为常态、不公开为例外的原则，切实推进政府信息公开工作。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（一）政府信息公开工作组织领导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根据《政府信息公开条例》要求,城管委主要领导担任组织长、副主任担任副组织长、各单位、部门负责同志担任成员。并设有专门负责政府信息公开的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受理点，并配备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专门负责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人员1人。规范审批流程，严格按照主管领导审核、主要领导审批签发的工作要求。落实信息公开工作。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（二）主动公开情况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本机关根据《条例》及时更新信息。全年共更新信息841条。其中依法行政信息711条，主动公开130条。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（三）依申请信息情况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截至2021年底本机关政府信息公开工作运行正常，政府信息公开咨询、申请以及答复工作均得到了顺利开展。本机关2021年共收到依申请公开申请21件，主要涉及京承三期征占地补偿等，其中15件全部按程序处理完成，6件结转下年办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（四）政府信息管理情况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城管委完善信息发布流程，严格按照政府信息保密审查制度，规范信息发布程序和渠道，切实做好信息属性源头认定，确保发布准确、安全。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（五）政府信息公开教育培训、监督保障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50" w:lineRule="atLeast"/>
        <w:ind w:left="0" w:right="0" w:firstLine="420"/>
        <w:jc w:val="left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城管委根据要求，注重教育培训，定期召开专题培训会，提高职工思想意识。严格监督保障，健全完善政府信息公开保密审查监督制度。建立健全考核监督、社会评议和责任追究制度，规范落实法定义务，本年度无相关责任追究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  <w:t>主动公开政府信息情况</w:t>
      </w:r>
    </w:p>
    <w:tbl>
      <w:tblPr>
        <w:tblStyle w:val="5"/>
        <w:tblW w:w="97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0"/>
        <w:gridCol w:w="2430"/>
        <w:gridCol w:w="2430"/>
        <w:gridCol w:w="2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7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auto"/>
                <w:sz w:val="32"/>
                <w:szCs w:val="32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信息内容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本年制发件数</w:t>
            </w:r>
          </w:p>
        </w:tc>
        <w:tc>
          <w:tcPr>
            <w:tcW w:w="24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本年废止件数</w:t>
            </w:r>
          </w:p>
        </w:tc>
        <w:tc>
          <w:tcPr>
            <w:tcW w:w="24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规章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行政规范性文件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7</w:t>
            </w:r>
          </w:p>
        </w:tc>
        <w:tc>
          <w:tcPr>
            <w:tcW w:w="24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24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default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  <w:t>收到和处理政府信息公开申请情况</w:t>
      </w:r>
    </w:p>
    <w:tbl>
      <w:tblPr>
        <w:tblStyle w:val="5"/>
        <w:tblW w:w="975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945"/>
        <w:gridCol w:w="3210"/>
        <w:gridCol w:w="690"/>
        <w:gridCol w:w="690"/>
        <w:gridCol w:w="690"/>
        <w:gridCol w:w="690"/>
        <w:gridCol w:w="690"/>
        <w:gridCol w:w="690"/>
        <w:gridCol w:w="69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4830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自然人</w:t>
            </w:r>
          </w:p>
        </w:tc>
        <w:tc>
          <w:tcPr>
            <w:tcW w:w="345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商业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企业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科研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机构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社会公益组织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法律服务机构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shd w:val="clear" w:color="auto" w:fill="9BC2E6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21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21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三、本年度办理结果</w:t>
            </w: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（一）予以公开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6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（二）部分公开（区分处理的，只计这一情形，不计其他情形）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1 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auto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（三）不予公开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1.属于国家秘密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2.其他法律行政法规禁止公开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3.危及“三安全一稳定”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4.保护第三方合法权益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5.属于三类内部事务信息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6.属于四类过程性信息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7.属于行政执法案卷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8.属于行政查询事项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（四）无法提供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1.本机关不掌握相关政府信息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8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2.没有现成信息需要另行制作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3.补正后申请内容仍不明确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（五）不予处理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1.信访举报投诉类申请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2.重复申请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3.要求提供公开出版物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4.无正当理由大量反复申请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945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（六）其他处理</w:t>
            </w: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1.申请人无正当理由逾期不补正、行政机关不再处理其政府信息公开申请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2.申请人逾期未按收费通知要求缴纳费用、行政机关不再处理其政府信息公开申请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945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32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3.其他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65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415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（七）总计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15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60" w:type="dxa"/>
              <w:bottom w:w="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92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四、结转下年度继续办理</w:t>
            </w:r>
          </w:p>
        </w:tc>
        <w:tc>
          <w:tcPr>
            <w:tcW w:w="6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6</w:t>
            </w:r>
          </w:p>
        </w:tc>
        <w:tc>
          <w:tcPr>
            <w:tcW w:w="6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90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6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default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  <w:t>四、政府信息公开行政复议、行政诉讼情况</w:t>
      </w:r>
    </w:p>
    <w:tbl>
      <w:tblPr>
        <w:tblStyle w:val="5"/>
        <w:tblW w:w="975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645"/>
        <w:gridCol w:w="645"/>
        <w:gridCol w:w="645"/>
        <w:gridCol w:w="660"/>
        <w:gridCol w:w="645"/>
        <w:gridCol w:w="645"/>
        <w:gridCol w:w="645"/>
        <w:gridCol w:w="645"/>
        <w:gridCol w:w="675"/>
        <w:gridCol w:w="645"/>
        <w:gridCol w:w="645"/>
        <w:gridCol w:w="645"/>
        <w:gridCol w:w="645"/>
        <w:gridCol w:w="6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2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行政复议</w:t>
            </w:r>
          </w:p>
        </w:tc>
        <w:tc>
          <w:tcPr>
            <w:tcW w:w="651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BDD7E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结果维持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结果</w:t>
            </w: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其他</w:t>
            </w: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尚未</w:t>
            </w: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总计</w:t>
            </w:r>
          </w:p>
        </w:tc>
        <w:tc>
          <w:tcPr>
            <w:tcW w:w="325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DDEBF7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6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结果</w:t>
            </w: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维持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结果</w:t>
            </w: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其他</w:t>
            </w: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尚未</w:t>
            </w: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总计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结果</w:t>
            </w: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维持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结果</w:t>
            </w: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其他</w:t>
            </w: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尚未</w:t>
            </w: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审结</w:t>
            </w:r>
          </w:p>
        </w:tc>
        <w:tc>
          <w:tcPr>
            <w:tcW w:w="6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0 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（一）存在的主要问题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2021年，北京市密云区城市管理委员会在政府信息公开工作方面，认真开展各项工作，取得了一定成效，但也存在需要改进之处，主动公开政府信息意识不强，主动公开政府信息不够丰富；对政府信息公开工作宣传不到位，对工作人员相关业务知识培训较少。在决策公开、管理公开等方面的力度仍需进一步加大，和广大群众对政府信息公开的迫切要求仍有一定差距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（二）2022年改进措施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2022年，本机关将继续加大信息公开工作力度，建立健全信息公开工作制度，增强公开信息的时效性和实用性，并积极组织培训，加强学习交流，进一步提高信息公开工作能力、质量和水平，促进信息公开工作的规范化、常态化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工作过程中，没有发生过作信息处理费情况。发出收费通知0件，总金额0元，实际收取总金额0元。</w:t>
      </w:r>
    </w:p>
    <w:p>
      <w:pPr>
        <w:rPr>
          <w:rFonts w:hint="eastAsia"/>
          <w:color w:val="auto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righ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北京市密云区城市管理委员会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righ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val="en-US" w:eastAsia="zh-CN"/>
        </w:rPr>
        <w:t>2022年1月20日</w:t>
      </w:r>
    </w:p>
    <w:p>
      <w:pPr>
        <w:pStyle w:val="2"/>
        <w:rPr>
          <w:rFonts w:hint="eastAsia" w:eastAsia="宋体"/>
          <w:lang w:val="en-US" w:eastAsia="zh-CN"/>
        </w:rPr>
      </w:pP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05360D"/>
    <w:multiLevelType w:val="singleLevel"/>
    <w:tmpl w:val="AD05360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C908751"/>
    <w:multiLevelType w:val="singleLevel"/>
    <w:tmpl w:val="BC90875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84710A"/>
    <w:rsid w:val="69A55B29"/>
    <w:rsid w:val="7F85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2022-03-25T02:01:30Z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