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bookmarkStart w:id="0" w:name="_GoBack"/>
      <w:r>
        <w:rPr>
          <w:rFonts w:hint="eastAsia" w:ascii="方正小标宋_GBK" w:hAnsi="方正小标宋_GBK" w:eastAsia="方正小标宋_GBK" w:cs="方正小标宋_GBK"/>
          <w:sz w:val="44"/>
          <w:szCs w:val="44"/>
          <w:lang w:eastAsia="zh-CN"/>
        </w:rPr>
        <w:t>北京市密云区太师屯镇</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20</w:t>
      </w:r>
      <w:r>
        <w:rPr>
          <w:rFonts w:hint="eastAsia" w:ascii="方正小标宋_GBK" w:hAnsi="方正小标宋_GBK" w:eastAsia="方正小标宋_GBK" w:cs="方正小标宋_GBK"/>
          <w:sz w:val="44"/>
          <w:szCs w:val="44"/>
          <w:lang w:val="en-US" w:eastAsia="zh-CN"/>
        </w:rPr>
        <w:t>21</w:t>
      </w:r>
      <w:r>
        <w:rPr>
          <w:rFonts w:hint="eastAsia" w:ascii="方正小标宋_GBK" w:hAnsi="方正小标宋_GBK" w:eastAsia="方正小标宋_GBK" w:cs="方正小标宋_GBK"/>
          <w:sz w:val="44"/>
          <w:szCs w:val="44"/>
          <w:lang w:eastAsia="zh-CN"/>
        </w:rPr>
        <w:t>年政府信息公开工作年度报告</w:t>
      </w:r>
    </w:p>
    <w:p>
      <w:pPr>
        <w:pStyle w:val="2"/>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依据《中华人民共和国政府信息公开条例》(以下简称《政府信息公开条例》)第五十条规定，编制本报告。</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一、总体情况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（一）组织机构及制度建设情况</w:t>
      </w:r>
    </w:p>
    <w:p>
      <w:pPr>
        <w:pStyle w:val="5"/>
        <w:keepNext w:val="0"/>
        <w:keepLines w:val="0"/>
        <w:widowControl/>
        <w:suppressLineNumbers w:val="0"/>
        <w:shd w:val="clear" w:fill="FFFFFF"/>
        <w:wordWrap/>
        <w:spacing w:before="0" w:beforeAutospacing="0" w:after="0" w:afterAutospacing="0"/>
        <w:ind w:left="0" w:right="0" w:firstLine="672" w:firstLineChars="200"/>
        <w:jc w:val="left"/>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bidi="ar-SA"/>
          <w14:textFill>
            <w14:solidFill>
              <w14:schemeClr w14:val="tx1"/>
            </w14:solidFill>
          </w14:textFill>
        </w:rPr>
        <w:t>为扎实推进我镇政府信息公开工作，成立了太师屯镇政府信息公开工作领导小组，负责全镇政府信息公开工作，组长由镇长担任、副组长由主管政府信息公开工作的副镇长担任，成员由各部门科长担任。明确相关科室职责，加强与各科室间协同配合，确保信息公开的实效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（二）法定主动公开内容情况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color w:val="000000" w:themeColor="text1"/>
          <w:spacing w:val="8"/>
          <w:kern w:val="0"/>
          <w:sz w:val="32"/>
          <w:szCs w:val="32"/>
          <w:lang w:val="en-US" w:eastAsia="zh-CN"/>
          <w14:textFill>
            <w14:solidFill>
              <w14:schemeClr w14:val="tx1"/>
            </w14:solidFill>
          </w14:textFill>
        </w:rPr>
      </w:pPr>
      <w:r>
        <w:rPr>
          <w:rFonts w:hint="eastAsia" w:ascii="仿宋_GB2312" w:hAnsi="宋体" w:eastAsia="仿宋_GB2312" w:cs="宋体"/>
          <w:color w:val="000000" w:themeColor="text1"/>
          <w:spacing w:val="8"/>
          <w:kern w:val="0"/>
          <w:sz w:val="32"/>
          <w:szCs w:val="32"/>
          <w:lang w:val="en-US" w:eastAsia="zh-CN"/>
          <w14:textFill>
            <w14:solidFill>
              <w14:schemeClr w14:val="tx1"/>
            </w14:solidFill>
          </w14:textFill>
        </w:rPr>
        <w:t>为了方便群众了解政府信息，我镇努力提高信息公开工作效率，严格落实《条例》及《要点》要求，做到应公开、尽公开。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sz w:val="32"/>
          <w:szCs w:val="32"/>
        </w:rPr>
      </w:pPr>
      <w:r>
        <w:rPr>
          <w:rFonts w:hint="eastAsia" w:ascii="黑体" w:hAnsi="黑体" w:eastAsia="黑体" w:cs="黑体"/>
          <w:b w:val="0"/>
          <w:bCs w:val="0"/>
          <w:sz w:val="32"/>
          <w:szCs w:val="32"/>
          <w:lang w:val="en-US" w:eastAsia="zh-CN"/>
        </w:rPr>
        <w:t xml:space="preserve">  </w:t>
      </w:r>
      <w:r>
        <w:rPr>
          <w:rFonts w:hint="eastAsia" w:ascii="楷体_GB2312" w:hAnsi="楷体_GB2312" w:eastAsia="楷体_GB2312" w:cs="楷体_GB2312"/>
          <w:b w:val="0"/>
          <w:bCs w:val="0"/>
          <w:sz w:val="32"/>
          <w:szCs w:val="32"/>
          <w:lang w:val="en-US" w:eastAsia="zh-CN"/>
        </w:rPr>
        <w:t xml:space="preserve">  （三）依申请公开办理情况</w:t>
      </w:r>
      <w:r>
        <w:rPr>
          <w:rFonts w:hint="eastAsia" w:ascii="楷体_GB2312" w:hAnsi="楷体_GB2312" w:eastAsia="楷体_GB2312" w:cs="楷体_GB2312"/>
          <w:b w:val="0"/>
          <w:bCs w:val="0"/>
          <w:sz w:val="32"/>
          <w:szCs w:val="32"/>
        </w:rPr>
        <w:t>     </w:t>
      </w:r>
      <w:r>
        <w:rPr>
          <w:rFonts w:hint="eastAsia" w:ascii="黑体" w:hAnsi="黑体" w:eastAsia="黑体" w:cs="黑体"/>
          <w:b w:val="0"/>
          <w:bCs w:val="0"/>
          <w:sz w:val="32"/>
          <w:szCs w:val="32"/>
        </w:rPr>
        <w:t> </w:t>
      </w:r>
      <w:r>
        <w:rPr>
          <w:rFonts w:hint="eastAsia" w:ascii="Calibri" w:hAnsi="Calibri" w:eastAsia="宋体"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高度重视依申请公开工作，严格规范依申请办理流程。我镇截止2021年12月31日共办理依申请公开9件，对申请人提出的公开申请按时按期给予答复。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信息</w:t>
      </w:r>
      <w:r>
        <w:rPr>
          <w:rFonts w:hint="eastAsia" w:ascii="楷体_GB2312" w:hAnsi="楷体_GB2312" w:eastAsia="楷体_GB2312" w:cs="楷体_GB2312"/>
          <w:b w:val="0"/>
          <w:bCs w:val="0"/>
          <w:sz w:val="32"/>
          <w:szCs w:val="32"/>
          <w:lang w:eastAsia="zh-CN"/>
        </w:rPr>
        <w:t>管理情况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进一步加强政府信息管理，结合我镇实际工作情况，按照“合法、全面、准确、及时”的要求公开政府信息，规范信息公开工作流程。组织相关科室，认真梳理工作职能，规范化、标准化、信息化管理政府信息资源。根据工作实际，重新梳理、完善太师屯镇政府信息公开全清单，进一步明确了主动公开政府信息的公开范围、公开形式、公开时限，依申请公开政府信息的受理机构、受理途径、受理程序等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fill="FFFFFF"/>
          <w:lang w:eastAsia="zh-CN"/>
        </w:rPr>
      </w:pPr>
      <w:r>
        <w:rPr>
          <w:rFonts w:hint="eastAsia" w:ascii="楷体_GB2312" w:hAnsi="楷体_GB2312" w:eastAsia="楷体_GB2312" w:cs="楷体_GB2312"/>
          <w:b w:val="0"/>
          <w:bCs w:val="0"/>
          <w:i w:val="0"/>
          <w:caps w:val="0"/>
          <w:color w:val="333333"/>
          <w:spacing w:val="0"/>
          <w:sz w:val="32"/>
          <w:szCs w:val="32"/>
          <w:shd w:val="clear" w:fill="FFFFFF"/>
          <w:lang w:eastAsia="zh-CN"/>
        </w:rPr>
        <w:t>（五）互联网信息公开平台建设情况</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由专人负责在网站平台上对于无效过期信息进行清除，对变更信息进行实时更新，对需增添的内容进行及时有效的更新和补充。使政府信息公开工作正常有序开展。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（六）监督保障工作情况</w:t>
      </w:r>
    </w:p>
    <w:p>
      <w:pPr>
        <w:pStyle w:val="5"/>
        <w:keepNext w:val="0"/>
        <w:keepLines w:val="0"/>
        <w:widowControl/>
        <w:suppressLineNumbers w:val="0"/>
        <w:shd w:val="clear" w:fill="FFFFFF"/>
        <w:wordWrap/>
        <w:spacing w:before="0" w:beforeAutospacing="0" w:after="0" w:afterAutospacing="0"/>
        <w:ind w:left="0" w:right="0"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2021年，我镇按照各级领导的要求，对照任务分解清单，聚焦人民群众的关注热点，切实做好政府信息公开工作。加强监督保障，由镇党政办牵头，对提供信息的情况进行督查。建立健全考核监督、社会评议和责任追究制度，规范落实法定义务。本年度无相关责任追究，为信息公开工作的有序开展提供了有力的保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i w:val="0"/>
          <w:caps w:val="0"/>
          <w:color w:val="333333"/>
          <w:spacing w:val="0"/>
          <w:sz w:val="32"/>
          <w:szCs w:val="32"/>
          <w:shd w:val="clear" w:fill="FFFFFF"/>
          <w:lang w:val="en-US" w:eastAsia="zh-CN"/>
        </w:rPr>
      </w:pPr>
      <w:r>
        <w:rPr>
          <w:rFonts w:hint="eastAsia" w:ascii="楷体_GB2312" w:hAnsi="楷体_GB2312" w:eastAsia="楷体_GB2312" w:cs="楷体_GB2312"/>
          <w:b w:val="0"/>
          <w:bCs w:val="0"/>
          <w:i w:val="0"/>
          <w:caps w:val="0"/>
          <w:color w:val="333333"/>
          <w:spacing w:val="0"/>
          <w:sz w:val="32"/>
          <w:szCs w:val="32"/>
          <w:shd w:val="clear" w:fill="FFFFFF"/>
          <w:lang w:val="en-US" w:eastAsia="zh-CN"/>
        </w:rPr>
        <w:t>（七）政府信息公开教育培训情况</w:t>
      </w:r>
    </w:p>
    <w:p>
      <w:pPr>
        <w:pStyle w:val="5"/>
        <w:keepNext w:val="0"/>
        <w:keepLines w:val="0"/>
        <w:widowControl/>
        <w:suppressLineNumbers w:val="0"/>
        <w:shd w:val="clear" w:fill="FFFFFF"/>
        <w:wordWrap/>
        <w:spacing w:before="0" w:beforeAutospacing="0" w:after="0" w:afterAutospacing="0"/>
        <w:ind w:left="0" w:right="0" w:firstLine="672" w:firstLineChars="200"/>
        <w:jc w:val="left"/>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开展宣传培训。组织镇相关科室负责人进行学习，促进科室之间的沟通和交流，增强做好政府信息公开工作的自觉性和主动性。</w:t>
      </w: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二、主动公开政府信息情况</w:t>
      </w:r>
    </w:p>
    <w:tbl>
      <w:tblPr>
        <w:tblStyle w:val="8"/>
        <w:tblpPr w:leftFromText="180" w:rightFromText="180" w:vertAnchor="text" w:horzAnchor="page" w:tblpX="1236" w:tblpY="462"/>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sz w:val="20"/>
                <w:szCs w:val="20"/>
                <w:lang w:val="en-US" w:eastAsia="zh-CN"/>
              </w:rPr>
              <w:t>5</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sz w:val="20"/>
                <w:szCs w:val="20"/>
                <w:lang w:val="en-US" w:eastAsia="zh-CN"/>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lang w:val="en-US"/>
              </w:rPr>
            </w:pPr>
            <w:r>
              <w:rPr>
                <w:rFonts w:hint="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sz w:val="20"/>
                <w:szCs w:val="20"/>
                <w:lang w:val="en-US" w:eastAsia="zh-CN"/>
              </w:rPr>
            </w:pPr>
            <w:r>
              <w:rPr>
                <w:rFonts w:hint="eastAsia"/>
                <w:sz w:val="20"/>
                <w:szCs w:val="20"/>
                <w:lang w:val="en-US" w:eastAsia="zh-CN"/>
              </w:rPr>
              <w:t>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sz w:val="20"/>
                <w:szCs w:val="20"/>
                <w:lang w:val="en-US" w:eastAsia="zh-CN"/>
              </w:rPr>
            </w:pPr>
            <w:r>
              <w:rPr>
                <w:rFonts w:hint="eastAsia"/>
                <w:sz w:val="20"/>
                <w:szCs w:val="20"/>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jc w:val="center"/>
              <w:rPr>
                <w:rFonts w:hint="default" w:ascii="宋体" w:eastAsia="宋体"/>
                <w:sz w:val="24"/>
                <w:szCs w:val="24"/>
                <w:lang w:val="en" w:eastAsia="zh-CN"/>
              </w:rPr>
            </w:pPr>
            <w:r>
              <w:rPr>
                <w:rFonts w:hint="eastAsia"/>
                <w:sz w:val="20"/>
                <w:szCs w:val="20"/>
                <w:lang w:val="en-US" w:eastAsia="zh-CN"/>
              </w:rPr>
              <w:t>0</w:t>
            </w:r>
          </w:p>
        </w:tc>
      </w:tr>
    </w:tbl>
    <w:p>
      <w:pPr>
        <w:pStyle w:val="2"/>
        <w:keepNext w:val="0"/>
        <w:keepLines w:val="0"/>
        <w:pageBreakBefore w:val="0"/>
        <w:numPr>
          <w:ilvl w:val="0"/>
          <w:numId w:val="0"/>
        </w:numPr>
        <w:kinsoku/>
        <w:wordWrap/>
        <w:overflowPunct/>
        <w:topLinePunct w:val="0"/>
        <w:autoSpaceDE/>
        <w:autoSpaceDN/>
        <w:bidi w:val="0"/>
        <w:adjustRightInd/>
        <w:snapToGrid/>
        <w:spacing w:line="560" w:lineRule="exact"/>
        <w:rPr>
          <w:rFonts w:hint="eastAsia"/>
        </w:rPr>
      </w:pPr>
    </w:p>
    <w:p>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三、收到和处理政府信息公开申请情况</w:t>
      </w:r>
    </w:p>
    <w:tbl>
      <w:tblPr>
        <w:tblStyle w:val="8"/>
        <w:tblpPr w:leftFromText="180" w:rightFromText="180" w:vertAnchor="text" w:horzAnchor="page" w:tblpX="1197" w:tblpY="306"/>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商业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科研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9</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eastAsia="宋体"/>
                <w:sz w:val="20"/>
                <w:szCs w:val="20"/>
                <w:lang w:val="en-US" w:eastAsia="zh-CN"/>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eastAsia="等线"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3</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eastAsia="宋体"/>
                <w:sz w:val="20"/>
                <w:szCs w:val="20"/>
                <w:lang w:val="en-US" w:eastAsia="zh-CN"/>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c>
          <w:tcPr>
            <w:tcW w:w="68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eastAsia" w:eastAsia="等线" w:cs="Calibri"/>
                <w:i w:val="0"/>
                <w:color w:val="000000"/>
                <w:kern w:val="0"/>
                <w:sz w:val="20"/>
                <w:szCs w:val="20"/>
                <w:u w:val="none"/>
                <w:lang w:val="en-US" w:eastAsia="zh-CN" w:bidi="ar"/>
              </w:rPr>
              <w:t>1</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eastAsia" w:eastAsia="等线" w:cs="Calibri"/>
                <w:i w:val="0"/>
                <w:color w:val="000000"/>
                <w:kern w:val="0"/>
                <w:sz w:val="20"/>
                <w:szCs w:val="20"/>
                <w:u w:val="none"/>
                <w:lang w:val="en-US" w:eastAsia="zh-CN" w:bidi="ar"/>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
              </w:rPr>
            </w:pPr>
            <w:r>
              <w:rPr>
                <w:rFonts w:hint="eastAsia"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
              </w:rPr>
            </w:pPr>
            <w:r>
              <w:rPr>
                <w:rFonts w:hint="eastAsia"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6</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outset"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sz w:val="20"/>
                <w:szCs w:val="20"/>
                <w:lang w:val="en-US"/>
              </w:rPr>
            </w:pPr>
            <w:r>
              <w:rPr>
                <w:rFonts w:hint="eastAsia"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default" w:ascii="Calibri" w:hAnsi="Calibri" w:eastAsia="等线" w:cs="Calibri"/>
                <w:i w:val="0"/>
                <w:color w:val="000000"/>
                <w:kern w:val="0"/>
                <w:sz w:val="20"/>
                <w:szCs w:val="20"/>
                <w:u w:val="none"/>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sz w:val="20"/>
                <w:szCs w:val="20"/>
              </w:rPr>
            </w:pPr>
            <w:r>
              <w:rPr>
                <w:rFonts w:hint="eastAsia" w:eastAsia="等线" w:cs="Calibri"/>
                <w:i w:val="0"/>
                <w:color w:val="000000"/>
                <w:kern w:val="0"/>
                <w:sz w:val="20"/>
                <w:szCs w:val="20"/>
                <w:u w:val="none"/>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sz w:val="20"/>
                <w:szCs w:val="20"/>
                <w:lang w:val="en"/>
              </w:rPr>
            </w:pPr>
            <w:r>
              <w:rPr>
                <w:rFonts w:hint="default" w:cs="Calibri"/>
                <w:kern w:val="0"/>
                <w:sz w:val="20"/>
                <w:szCs w:val="20"/>
                <w:lang w:val="en" w:eastAsia="zh-CN" w:bidi="ar"/>
              </w:rPr>
              <w:t>10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20"/>
                <w:szCs w:val="20"/>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sz w:val="20"/>
                <w:szCs w:val="20"/>
                <w:lang w:val="en-US"/>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20"/>
                <w:szCs w:val="20"/>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20"/>
                <w:szCs w:val="20"/>
              </w:rPr>
            </w:pPr>
            <w:r>
              <w:rPr>
                <w:rFonts w:hint="eastAsia"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sz w:val="20"/>
                <w:szCs w:val="20"/>
              </w:rPr>
            </w:pPr>
            <w:r>
              <w:rPr>
                <w:rFonts w:hint="eastAsia" w:cs="Calibri"/>
                <w:kern w:val="0"/>
                <w:sz w:val="20"/>
                <w:szCs w:val="20"/>
                <w:lang w:val="en-US" w:eastAsia="zh-CN" w:bidi="ar"/>
              </w:rPr>
              <w:t>0</w:t>
            </w:r>
          </w:p>
        </w:tc>
        <w:tc>
          <w:tcPr>
            <w:tcW w:w="689" w:type="dxa"/>
            <w:tcBorders>
              <w:top w:val="nil"/>
              <w:left w:val="nil"/>
              <w:bottom w:val="single" w:color="auto" w:sz="8" w:space="0"/>
              <w:right w:val="single" w:color="auto" w:sz="8" w:space="0"/>
            </w:tcBorders>
            <w:tcMar>
              <w:left w:w="57" w:type="dxa"/>
              <w:right w:w="57" w:type="dxa"/>
            </w:tcMar>
            <w:vAlign w:val="top"/>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default"/>
                <w:sz w:val="20"/>
                <w:szCs w:val="20"/>
                <w:lang w:val="en"/>
              </w:rPr>
            </w:pPr>
            <w:r>
              <w:rPr>
                <w:rFonts w:hint="default" w:cs="Calibri"/>
                <w:kern w:val="0"/>
                <w:sz w:val="20"/>
                <w:szCs w:val="20"/>
                <w:lang w:val="en" w:eastAsia="zh-CN" w:bidi="ar"/>
              </w:rPr>
              <w:t>10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rPr>
                <w:rFonts w:hint="eastAsia" w:eastAsia="宋体" w:cs="Calibri"/>
                <w:kern w:val="0"/>
                <w:sz w:val="20"/>
                <w:szCs w:val="20"/>
                <w:lang w:val="en-US" w:eastAsia="zh-CN" w:bidi="ar"/>
              </w:rPr>
            </w:pPr>
            <w:r>
              <w:rPr>
                <w:rFonts w:hint="eastAsia" w:eastAsia="宋体" w:cs="Calibri"/>
                <w:kern w:val="0"/>
                <w:sz w:val="20"/>
                <w:szCs w:val="20"/>
                <w:lang w:val="en-US" w:eastAsia="zh-CN" w:bidi="ar"/>
              </w:rPr>
              <w:t>0</w:t>
            </w:r>
          </w:p>
        </w:tc>
      </w:tr>
    </w:tbl>
    <w:p>
      <w:pPr>
        <w:keepNext w:val="0"/>
        <w:keepLines w:val="0"/>
        <w:pageBreakBefore w:val="0"/>
        <w:widowControl/>
        <w:kinsoku/>
        <w:wordWrap/>
        <w:overflowPunct/>
        <w:topLinePunct w:val="0"/>
        <w:autoSpaceDE/>
        <w:autoSpaceDN/>
        <w:bidi w:val="0"/>
        <w:adjustRightInd/>
        <w:snapToGrid/>
        <w:spacing w:line="560" w:lineRule="exact"/>
        <w:ind w:firstLine="336" w:firstLineChars="100"/>
        <w:jc w:val="left"/>
        <w:textAlignment w:val="auto"/>
        <w:rPr>
          <w:rFonts w:hint="eastAsia" w:ascii="黑体" w:hAnsi="黑体" w:eastAsia="黑体" w:cs="宋体"/>
          <w:spacing w:val="8"/>
          <w:kern w:val="0"/>
          <w:sz w:val="32"/>
          <w:szCs w:val="32"/>
          <w:lang w:val="en-US" w:eastAsia="zh-CN"/>
        </w:rPr>
      </w:pPr>
      <w:r>
        <w:rPr>
          <w:rFonts w:hint="eastAsia" w:ascii="黑体" w:hAnsi="黑体" w:eastAsia="黑体" w:cs="宋体"/>
          <w:spacing w:val="8"/>
          <w:kern w:val="0"/>
          <w:sz w:val="32"/>
          <w:szCs w:val="32"/>
          <w:lang w:val="en-US" w:eastAsia="zh-CN"/>
        </w:rPr>
        <w:t>四、政府信息公开行政复议、行政诉讼情况</w:t>
      </w:r>
    </w:p>
    <w:tbl>
      <w:tblPr>
        <w:tblStyle w:val="8"/>
        <w:tblpPr w:leftFromText="180" w:rightFromText="180" w:vertAnchor="text" w:horzAnchor="page" w:tblpX="1257" w:tblpY="268"/>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560" w:lineRule="exact"/>
              <w:rPr>
                <w:rFonts w:hint="eastAsia"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eastAsia" w:ascii="Calibri" w:hAnsi="Calibri" w:eastAsia="等线" w:cs="Calibri"/>
                <w:i w:val="0"/>
                <w:color w:val="000000"/>
                <w:kern w:val="0"/>
                <w:sz w:val="20"/>
                <w:szCs w:val="20"/>
                <w:u w:val="none"/>
                <w:lang w:val="en-US" w:eastAsia="zh-CN" w:bidi="ar"/>
              </w:rPr>
              <w:t>0</w:t>
            </w:r>
            <w:r>
              <w:rPr>
                <w:rFonts w:hint="default" w:ascii="Calibri" w:hAnsi="Calibri" w:eastAsia="等线" w:cs="Calibri"/>
                <w:i w:val="0"/>
                <w:color w:val="000000"/>
                <w:kern w:val="0"/>
                <w:sz w:val="20"/>
                <w:szCs w:val="20"/>
                <w:u w:val="none"/>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eastAsia" w:ascii="Calibri" w:hAnsi="Calibri" w:eastAsia="等线" w:cs="Calibri"/>
                <w:i w:val="0"/>
                <w:color w:val="000000"/>
                <w:kern w:val="0"/>
                <w:sz w:val="20"/>
                <w:szCs w:val="20"/>
                <w:u w:val="none"/>
                <w:lang w:val="en-US" w:eastAsia="zh-CN" w:bidi="ar"/>
              </w:rPr>
              <w:t>0</w:t>
            </w:r>
            <w:r>
              <w:rPr>
                <w:rFonts w:hint="default" w:ascii="Calibri" w:hAnsi="Calibri" w:eastAsia="等线" w:cs="Calibri"/>
                <w:i w:val="0"/>
                <w:color w:val="000000"/>
                <w:kern w:val="0"/>
                <w:sz w:val="20"/>
                <w:szCs w:val="20"/>
                <w:u w:val="none"/>
                <w:lang w:val="en-US" w:eastAsia="zh-CN"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eastAsia" w:ascii="Calibri" w:hAnsi="Calibri" w:eastAsia="等线" w:cs="Calibri"/>
                <w:i w:val="0"/>
                <w:color w:val="000000"/>
                <w:kern w:val="0"/>
                <w:sz w:val="20"/>
                <w:szCs w:val="20"/>
                <w:u w:val="none"/>
                <w:lang w:val="en-US" w:eastAsia="zh-CN" w:bidi="ar"/>
              </w:rPr>
              <w:t>0</w:t>
            </w:r>
            <w:r>
              <w:rPr>
                <w:rFonts w:hint="default" w:ascii="Calibri" w:hAnsi="Calibri" w:eastAsia="等线" w:cs="Calibri"/>
                <w:i w:val="0"/>
                <w:color w:val="000000"/>
                <w:kern w:val="0"/>
                <w:sz w:val="20"/>
                <w:szCs w:val="20"/>
                <w:u w:val="none"/>
                <w:lang w:val="en-US" w:eastAsia="zh-CN" w:bidi="ar"/>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eastAsia" w:ascii="Calibri" w:hAnsi="Calibri" w:eastAsia="等线" w:cs="Calibri"/>
                <w:i w:val="0"/>
                <w:color w:val="000000"/>
                <w:kern w:val="0"/>
                <w:sz w:val="20"/>
                <w:szCs w:val="20"/>
                <w:u w:val="none"/>
                <w:lang w:val="en-US" w:eastAsia="zh-CN" w:bidi="ar"/>
              </w:rPr>
              <w:t>0</w:t>
            </w:r>
            <w:r>
              <w:rPr>
                <w:rFonts w:hint="default" w:ascii="Calibri" w:hAnsi="Calibri" w:eastAsia="等线" w:cs="Calibri"/>
                <w:i w:val="0"/>
                <w:color w:val="000000"/>
                <w:kern w:val="0"/>
                <w:sz w:val="20"/>
                <w:szCs w:val="20"/>
                <w:u w:val="none"/>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eastAsia" w:ascii="Calibri" w:hAnsi="Calibri" w:eastAsia="等线" w:cs="Calibri"/>
                <w:i w:val="0"/>
                <w:color w:val="000000"/>
                <w:kern w:val="0"/>
                <w:sz w:val="20"/>
                <w:szCs w:val="20"/>
                <w:u w:val="none"/>
                <w:lang w:val="en-US" w:eastAsia="zh-CN" w:bidi="ar"/>
              </w:rPr>
              <w:t>0</w:t>
            </w:r>
            <w:r>
              <w:rPr>
                <w:rFonts w:hint="default" w:ascii="Calibri" w:hAnsi="Calibri" w:eastAsia="等线" w:cs="Calibri"/>
                <w:i w:val="0"/>
                <w:color w:val="000000"/>
                <w:kern w:val="0"/>
                <w:sz w:val="20"/>
                <w:szCs w:val="20"/>
                <w:u w:val="none"/>
                <w:lang w:val="en-US" w:eastAsia="zh-CN" w:bidi="ar"/>
              </w:rPr>
              <w:t>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default" w:ascii="Calibri" w:hAnsi="Calibri" w:eastAsia="等线" w:cs="Calibri"/>
                <w:i w:val="0"/>
                <w:color w:val="000000"/>
                <w:kern w:val="0"/>
                <w:sz w:val="20"/>
                <w:szCs w:val="20"/>
                <w:u w:val="none"/>
                <w:lang w:val="en-US" w:eastAsia="zh-CN" w:bidi="ar"/>
              </w:rPr>
            </w:pPr>
            <w:r>
              <w:rPr>
                <w:rFonts w:hint="default" w:ascii="Calibri" w:hAnsi="Calibri" w:eastAsia="等线" w:cs="Calibri"/>
                <w:i w:val="0"/>
                <w:color w:val="000000"/>
                <w:kern w:val="0"/>
                <w:sz w:val="20"/>
                <w:szCs w:val="20"/>
                <w:u w:val="none"/>
                <w:lang w:val="en-US" w:eastAsia="zh-CN" w:bidi="ar"/>
              </w:rPr>
              <w:t> </w:t>
            </w:r>
            <w:r>
              <w:rPr>
                <w:rFonts w:hint="eastAsia" w:ascii="Calibri" w:hAnsi="Calibri" w:eastAsia="等线" w:cs="Calibri"/>
                <w:i w:val="0"/>
                <w:color w:val="000000"/>
                <w:kern w:val="0"/>
                <w:sz w:val="20"/>
                <w:szCs w:val="20"/>
                <w:u w:val="none"/>
                <w:lang w:val="en-US" w:eastAsia="zh-CN" w:bidi="ar"/>
              </w:rPr>
              <w:t>0</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Calibri" w:hAnsi="Calibri" w:eastAsia="等线" w:cs="Calibri"/>
                <w:i w:val="0"/>
                <w:color w:val="000000"/>
                <w:kern w:val="0"/>
                <w:sz w:val="20"/>
                <w:szCs w:val="20"/>
                <w:u w:val="none"/>
                <w:lang w:val="en-US" w:eastAsia="zh-CN" w:bidi="ar"/>
              </w:rPr>
            </w:pPr>
            <w:r>
              <w:rPr>
                <w:rFonts w:hint="eastAsia" w:ascii="Calibri" w:hAnsi="Calibri" w:eastAsia="等线" w:cs="Calibri"/>
                <w:i w:val="0"/>
                <w:color w:val="000000"/>
                <w:kern w:val="0"/>
                <w:sz w:val="20"/>
                <w:szCs w:val="20"/>
                <w:u w:val="none"/>
                <w:lang w:val="en-US" w:eastAsia="zh-CN" w:bidi="ar"/>
              </w:rPr>
              <w:t>0</w:t>
            </w:r>
          </w:p>
        </w:tc>
      </w:tr>
    </w:tbl>
    <w:p>
      <w:pPr>
        <w:keepNext w:val="0"/>
        <w:keepLines w:val="0"/>
        <w:pageBreakBefore w:val="0"/>
        <w:widowControl/>
        <w:suppressLineNumbers w:val="0"/>
        <w:kinsoku/>
        <w:wordWrap/>
        <w:overflowPunct/>
        <w:topLinePunct w:val="0"/>
        <w:autoSpaceDE/>
        <w:autoSpaceDN/>
        <w:bidi w:val="0"/>
        <w:adjustRightInd/>
        <w:snapToGrid/>
        <w:spacing w:line="560" w:lineRule="exact"/>
        <w:jc w:val="left"/>
      </w:pPr>
    </w:p>
    <w:p>
      <w:pPr>
        <w:keepNext w:val="0"/>
        <w:keepLines w:val="0"/>
        <w:pageBreakBefore w:val="0"/>
        <w:widowControl/>
        <w:kinsoku/>
        <w:wordWrap/>
        <w:overflowPunct/>
        <w:topLinePunct w:val="0"/>
        <w:autoSpaceDE/>
        <w:autoSpaceDN/>
        <w:bidi w:val="0"/>
        <w:adjustRightInd/>
        <w:snapToGrid/>
        <w:spacing w:line="560" w:lineRule="exact"/>
        <w:ind w:firstLine="672" w:firstLineChars="200"/>
        <w:jc w:val="left"/>
        <w:textAlignment w:val="auto"/>
        <w:rPr>
          <w:rFonts w:ascii="宋体" w:hAnsi="宋体" w:cs="宋体"/>
          <w:spacing w:val="8"/>
          <w:kern w:val="0"/>
          <w:sz w:val="32"/>
          <w:szCs w:val="32"/>
        </w:rPr>
      </w:pPr>
      <w:r>
        <w:rPr>
          <w:rFonts w:ascii="黑体" w:hAnsi="黑体" w:eastAsia="黑体" w:cs="宋体"/>
          <w:spacing w:val="8"/>
          <w:kern w:val="0"/>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lang w:val="en-US" w:eastAsia="zh-CN"/>
        </w:rPr>
        <w:t>2021年</w:t>
      </w:r>
      <w:r>
        <w:rPr>
          <w:rFonts w:hint="eastAsia" w:ascii="楷体_GB2312" w:hAnsi="楷体_GB2312" w:eastAsia="楷体_GB2312" w:cs="楷体_GB2312"/>
          <w:b w:val="0"/>
          <w:bCs w:val="0"/>
          <w:sz w:val="32"/>
          <w:szCs w:val="32"/>
          <w:lang w:eastAsia="zh-CN"/>
        </w:rPr>
        <w:t>存在问题</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1.</w:t>
      </w:r>
      <w:r>
        <w:rPr>
          <w:rFonts w:hint="eastAsia" w:ascii="仿宋_GB2312" w:hAnsi="宋体" w:eastAsia="仿宋_GB2312" w:cs="宋体"/>
          <w:spacing w:val="8"/>
          <w:kern w:val="0"/>
          <w:sz w:val="32"/>
          <w:szCs w:val="32"/>
          <w:lang w:val="en-US" w:eastAsia="zh-CN"/>
        </w:rPr>
        <w:t>主动公开政府信息的数量还需要增加，公开的内容需要进一步细化;</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2.</w:t>
      </w:r>
      <w:r>
        <w:rPr>
          <w:rFonts w:hint="eastAsia" w:ascii="仿宋_GB2312" w:hAnsi="宋体" w:eastAsia="仿宋_GB2312" w:cs="宋体"/>
          <w:spacing w:val="8"/>
          <w:kern w:val="0"/>
          <w:sz w:val="32"/>
          <w:szCs w:val="32"/>
          <w:lang w:val="en-US" w:eastAsia="zh-CN"/>
        </w:rPr>
        <w:t>宣传和引导工作需要进一步加强，提升政府信息公开工作的认识程度，满足公众对政府信息的需求。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（二）2022年改进情况</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1.</w:t>
      </w:r>
      <w:r>
        <w:rPr>
          <w:rFonts w:hint="eastAsia" w:ascii="仿宋_GB2312" w:hAnsi="宋体" w:eastAsia="仿宋_GB2312" w:cs="宋体"/>
          <w:spacing w:val="8"/>
          <w:kern w:val="0"/>
          <w:sz w:val="32"/>
          <w:szCs w:val="32"/>
          <w:lang w:val="en-US" w:eastAsia="zh-CN"/>
        </w:rPr>
        <w:t>加强信息公开负责部门与机关内部各科室之间联系，及时将各科室生成的信息发布到网上，尽量做到信息生成与发布保持同步;</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2.</w:t>
      </w:r>
      <w:r>
        <w:rPr>
          <w:rFonts w:hint="eastAsia" w:ascii="仿宋_GB2312" w:hAnsi="宋体" w:eastAsia="仿宋_GB2312" w:cs="宋体"/>
          <w:spacing w:val="8"/>
          <w:kern w:val="0"/>
          <w:sz w:val="32"/>
          <w:szCs w:val="32"/>
          <w:lang w:val="en-US" w:eastAsia="zh-CN"/>
        </w:rPr>
        <w:t>进一步解放思想，扩大信息公开的范围，除正式文件外，将我镇生成的对社会公众有指导或帮助意义的信息也要纳入信息公开的范畴之中予以发布;</w:t>
      </w:r>
    </w:p>
    <w:p>
      <w:pPr>
        <w:keepNext w:val="0"/>
        <w:keepLines w:val="0"/>
        <w:pageBreakBefore w:val="0"/>
        <w:widowControl w:val="0"/>
        <w:kinsoku/>
        <w:wordWrap/>
        <w:overflowPunct/>
        <w:topLinePunct w:val="0"/>
        <w:autoSpaceDE/>
        <w:autoSpaceDN/>
        <w:bidi w:val="0"/>
        <w:adjustRightInd/>
        <w:snapToGrid/>
        <w:spacing w:line="560" w:lineRule="exact"/>
        <w:ind w:firstLine="675" w:firstLineChars="200"/>
        <w:textAlignment w:val="auto"/>
        <w:rPr>
          <w:rFonts w:hint="eastAsia" w:ascii="仿宋_GB2312" w:hAnsi="宋体" w:eastAsia="仿宋_GB2312" w:cs="宋体"/>
          <w:b/>
          <w:bCs/>
          <w:spacing w:val="8"/>
          <w:kern w:val="0"/>
          <w:sz w:val="32"/>
          <w:szCs w:val="32"/>
          <w:lang w:val="en-US" w:eastAsia="zh-CN"/>
        </w:rPr>
      </w:pPr>
      <w:r>
        <w:rPr>
          <w:rFonts w:hint="eastAsia" w:ascii="仿宋_GB2312" w:hAnsi="宋体" w:eastAsia="仿宋_GB2312" w:cs="宋体"/>
          <w:b/>
          <w:bCs/>
          <w:spacing w:val="8"/>
          <w:kern w:val="0"/>
          <w:sz w:val="32"/>
          <w:szCs w:val="32"/>
          <w:lang w:val="en-US" w:eastAsia="zh-CN"/>
        </w:rPr>
        <w:t>3.</w:t>
      </w:r>
      <w:r>
        <w:rPr>
          <w:rFonts w:hint="eastAsia" w:ascii="仿宋_GB2312" w:hAnsi="宋体" w:eastAsia="仿宋_GB2312" w:cs="宋体"/>
          <w:spacing w:val="8"/>
          <w:kern w:val="0"/>
          <w:sz w:val="32"/>
          <w:szCs w:val="32"/>
          <w:lang w:val="en-US" w:eastAsia="zh-CN"/>
        </w:rPr>
        <w:t>学习借鉴其他单位优秀的经验做法，创新工作思路；主动接受社会监督，为广大社会公众服好务。</w:t>
      </w:r>
    </w:p>
    <w:p>
      <w:pPr>
        <w:keepNext w:val="0"/>
        <w:keepLines w:val="0"/>
        <w:pageBreakBefore w:val="0"/>
        <w:widowControl/>
        <w:kinsoku/>
        <w:wordWrap/>
        <w:overflowPunct/>
        <w:topLinePunct w:val="0"/>
        <w:autoSpaceDE/>
        <w:autoSpaceDN/>
        <w:bidi w:val="0"/>
        <w:adjustRightInd/>
        <w:snapToGrid/>
        <w:spacing w:line="560" w:lineRule="exact"/>
        <w:ind w:firstLine="675"/>
        <w:jc w:val="left"/>
        <w:textAlignment w:val="auto"/>
        <w:rPr>
          <w:rFonts w:hint="eastAsia" w:ascii="楷体_GB2312" w:hAnsi="楷体_GB2312" w:eastAsia="楷体_GB2312" w:cs="楷体_GB2312"/>
          <w:spacing w:val="8"/>
          <w:kern w:val="0"/>
          <w:sz w:val="32"/>
          <w:szCs w:val="32"/>
        </w:rPr>
      </w:pPr>
      <w:r>
        <w:rPr>
          <w:rFonts w:hint="eastAsia" w:ascii="楷体_GB2312" w:hAnsi="楷体_GB2312" w:eastAsia="楷体_GB2312" w:cs="楷体_GB2312"/>
          <w:spacing w:val="8"/>
          <w:kern w:val="0"/>
          <w:sz w:val="32"/>
          <w:szCs w:val="32"/>
        </w:rPr>
        <w:t>六、其他需要报告的事项</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sz w:val="32"/>
          <w:szCs w:val="32"/>
        </w:rPr>
      </w:pPr>
      <w:r>
        <w:rPr>
          <w:rFonts w:hint="eastAsia" w:ascii="仿宋_GB2312" w:hAnsi="宋体" w:eastAsia="仿宋_GB2312" w:cs="宋体"/>
          <w:spacing w:val="8"/>
          <w:kern w:val="0"/>
          <w:sz w:val="32"/>
          <w:szCs w:val="32"/>
          <w:lang w:val="en-US" w:eastAsia="zh-CN"/>
        </w:rPr>
        <w:t>工作中没有发生过收取信息处理费的情况，发出收费通知0件，实际收取总金额0元。   </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default" w:ascii="仿宋_GB2312" w:hAnsi="宋体" w:eastAsia="仿宋_GB2312" w:cs="宋体"/>
          <w:spacing w:val="8"/>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4368" w:firstLineChars="1300"/>
        <w:textAlignment w:val="auto"/>
        <w:rPr>
          <w:rFonts w:hint="eastAsia" w:ascii="仿宋_GB2312" w:hAnsi="宋体" w:eastAsia="仿宋_GB2312" w:cs="宋体"/>
          <w:spacing w:val="8"/>
          <w:kern w:val="0"/>
          <w:sz w:val="32"/>
          <w:szCs w:val="32"/>
          <w:lang w:val="en-US" w:eastAsia="zh-CN"/>
        </w:rPr>
      </w:pPr>
      <w:r>
        <w:rPr>
          <w:rFonts w:hint="eastAsia" w:ascii="仿宋_GB2312" w:hAnsi="宋体" w:eastAsia="仿宋_GB2312" w:cs="宋体"/>
          <w:spacing w:val="8"/>
          <w:kern w:val="0"/>
          <w:sz w:val="32"/>
          <w:szCs w:val="32"/>
          <w:lang w:val="en-US" w:eastAsia="zh-CN"/>
        </w:rPr>
        <w:t>北京市密云区太师屯镇政府</w:t>
      </w:r>
    </w:p>
    <w:p>
      <w:pPr>
        <w:pStyle w:val="2"/>
        <w:ind w:firstLine="5040" w:firstLineChars="1500"/>
        <w:rPr>
          <w:rFonts w:hint="eastAsia"/>
          <w:lang w:val="en-US" w:eastAsia="zh-CN"/>
        </w:rPr>
      </w:pPr>
      <w:r>
        <w:rPr>
          <w:rFonts w:hint="eastAsia" w:ascii="仿宋_GB2312" w:hAnsi="宋体" w:eastAsia="仿宋_GB2312" w:cs="宋体"/>
          <w:spacing w:val="8"/>
          <w:kern w:val="0"/>
          <w:sz w:val="32"/>
          <w:szCs w:val="32"/>
          <w:lang w:val="en-US" w:eastAsia="zh-CN"/>
        </w:rPr>
        <w:t>2022年1月20日</w:t>
      </w:r>
    </w:p>
    <w:p>
      <w:pPr>
        <w:pStyle w:val="2"/>
        <w:rPr>
          <w:rFonts w:hint="default"/>
          <w:lang w:val="en-US" w:eastAsia="zh-CN"/>
        </w:rPr>
      </w:pPr>
    </w:p>
    <w:bookmarkEnd w:id="0"/>
    <w:sectPr>
      <w:headerReference r:id="rId3" w:type="default"/>
      <w:footerReference r:id="rId4"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022902"/>
    <w:rsid w:val="0FBE1B4B"/>
    <w:rsid w:val="17B85848"/>
    <w:rsid w:val="278F142A"/>
    <w:rsid w:val="304D3881"/>
    <w:rsid w:val="3737A193"/>
    <w:rsid w:val="3F5B2B22"/>
    <w:rsid w:val="41BA1F07"/>
    <w:rsid w:val="4BBD2567"/>
    <w:rsid w:val="52412658"/>
    <w:rsid w:val="53022902"/>
    <w:rsid w:val="53D72FC9"/>
    <w:rsid w:val="54FFEBFB"/>
    <w:rsid w:val="55674AEA"/>
    <w:rsid w:val="5FA39538"/>
    <w:rsid w:val="67FB6465"/>
    <w:rsid w:val="69FE68DC"/>
    <w:rsid w:val="6F4FF453"/>
    <w:rsid w:val="779FE056"/>
    <w:rsid w:val="7A7F09B3"/>
    <w:rsid w:val="7CAF3DED"/>
    <w:rsid w:val="7EFB3B05"/>
    <w:rsid w:val="7F5ED3C8"/>
    <w:rsid w:val="955FE3C0"/>
    <w:rsid w:val="967E3BAD"/>
    <w:rsid w:val="B4DFB77C"/>
    <w:rsid w:val="BFEF3CF4"/>
    <w:rsid w:val="BFF932AB"/>
    <w:rsid w:val="CF3E396E"/>
    <w:rsid w:val="CFDF1DCB"/>
    <w:rsid w:val="D7FF6D16"/>
    <w:rsid w:val="DF65ADD7"/>
    <w:rsid w:val="EBDF204B"/>
    <w:rsid w:val="EEFD467D"/>
    <w:rsid w:val="EFCBD4A0"/>
    <w:rsid w:val="EFCD5E89"/>
    <w:rsid w:val="F3BF1AEC"/>
    <w:rsid w:val="F5BF1E9C"/>
    <w:rsid w:val="FB7FB76F"/>
    <w:rsid w:val="FBFB8B76"/>
    <w:rsid w:val="FC5391DB"/>
    <w:rsid w:val="FD6F63DA"/>
    <w:rsid w:val="FEEB16F5"/>
    <w:rsid w:val="FF594767"/>
    <w:rsid w:val="FFCFD062"/>
    <w:rsid w:val="FFEB87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99"/>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2022-01-12T06:41:00Z</dcterms:created>
  <dc:creator>Administrator</dc:creator>
  <cp:lastModifiedBy>admin</cp:lastModifiedBy>
  <dcterms:modified xsi:type="dcterms:W3CDTF">2022-09-05T01:23:36Z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y fmtid="{D5CDD505-2E9C-101B-9397-08002B2CF9AE}" pid="3" name="ICV">
    <vt:lpwstr>9473BA52D3A8473E87A4DCC831C854E2</vt:lpwstr>
  </property>
</Properties>
</file>