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北京市</w:t>
      </w:r>
      <w:r>
        <w:rPr>
          <w:rFonts w:hint="eastAsia" w:ascii="方正小标宋简体" w:eastAsia="方正小标宋简体"/>
          <w:sz w:val="44"/>
          <w:szCs w:val="44"/>
          <w:lang w:eastAsia="zh-CN"/>
        </w:rPr>
        <w:t>密云区</w:t>
      </w:r>
      <w:r>
        <w:rPr>
          <w:rFonts w:hint="eastAsia" w:ascii="方正小标宋简体" w:eastAsia="方正小标宋简体"/>
          <w:sz w:val="44"/>
          <w:szCs w:val="44"/>
        </w:rPr>
        <w:t>住房和城乡建设委员会</w:t>
      </w:r>
    </w:p>
    <w:p>
      <w:pPr>
        <w:spacing w:line="700" w:lineRule="exact"/>
        <w:jc w:val="center"/>
        <w:rPr>
          <w:sz w:val="28"/>
          <w:szCs w:val="28"/>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年政府信息公开工作年度报告</w:t>
      </w:r>
    </w:p>
    <w:p>
      <w:pPr>
        <w:rPr>
          <w:rFonts w:ascii="仿宋_GB2312"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华文中宋" w:eastAsia="仿宋_GB2312"/>
          <w:snapToGrid w:val="0"/>
          <w:color w:val="000000" w:themeColor="text1"/>
          <w:kern w:val="0"/>
          <w:sz w:val="32"/>
          <w:szCs w:val="32"/>
          <w:lang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lang w:val="en-US" w:eastAsia="zh-CN"/>
          <w14:textFill>
            <w14:solidFill>
              <w14:schemeClr w14:val="tx1"/>
            </w14:solidFill>
          </w14:textFill>
        </w:rPr>
        <w:t>根据</w:t>
      </w:r>
      <w:r>
        <w:rPr>
          <w:rFonts w:hint="eastAsia" w:ascii="仿宋_GB2312" w:hAnsi="华文中宋" w:eastAsia="仿宋_GB2312"/>
          <w:snapToGrid w:val="0"/>
          <w:color w:val="000000" w:themeColor="text1"/>
          <w:kern w:val="0"/>
          <w:sz w:val="32"/>
          <w:szCs w:val="32"/>
          <w14:textFill>
            <w14:solidFill>
              <w14:schemeClr w14:val="tx1"/>
            </w14:solidFill>
          </w14:textFill>
        </w:rPr>
        <w:t>《中华人民共和国政府信息公开条例</w:t>
      </w:r>
      <w:r>
        <w:rPr>
          <w:rFonts w:hint="eastAsia" w:ascii="仿宋_GB2312" w:hAnsi="华文中宋" w:eastAsia="仿宋_GB2312"/>
          <w:snapToGrid w:val="0"/>
          <w:color w:val="000000" w:themeColor="text1"/>
          <w:kern w:val="0"/>
          <w:sz w:val="32"/>
          <w:szCs w:val="32"/>
          <w:lang w:eastAsia="zh-CN"/>
          <w14:textFill>
            <w14:solidFill>
              <w14:schemeClr w14:val="tx1"/>
            </w14:solidFill>
          </w14:textFill>
        </w:rPr>
        <w:t>》和《北京市政府信息公开规定》及《北京市</w:t>
      </w:r>
      <w:r>
        <w:rPr>
          <w:rFonts w:hint="eastAsia" w:ascii="仿宋_GB2312" w:hAnsi="华文中宋" w:eastAsia="仿宋_GB2312"/>
          <w:snapToGrid w:val="0"/>
          <w:color w:val="000000" w:themeColor="text1"/>
          <w:kern w:val="0"/>
          <w:sz w:val="32"/>
          <w:szCs w:val="32"/>
          <w:lang w:val="en-US" w:eastAsia="zh-CN"/>
          <w14:textFill>
            <w14:solidFill>
              <w14:schemeClr w14:val="tx1"/>
            </w14:solidFill>
          </w14:textFill>
        </w:rPr>
        <w:t>2016年政府信息公开工作要点》要求，</w:t>
      </w:r>
      <w:r>
        <w:rPr>
          <w:rFonts w:hint="eastAsia" w:ascii="仿宋_GB2312" w:hAnsi="仿宋_GB2312" w:eastAsia="仿宋_GB2312" w:cs="仿宋_GB2312"/>
          <w:color w:val="000000" w:themeColor="text1"/>
          <w:kern w:val="0"/>
          <w:sz w:val="32"/>
          <w:szCs w:val="32"/>
          <w14:textFill>
            <w14:solidFill>
              <w14:schemeClr w14:val="tx1"/>
            </w14:solidFill>
          </w14:textFill>
        </w:rPr>
        <w:t>结合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住建委实际，编制了本报告</w:t>
      </w:r>
      <w:r>
        <w:rPr>
          <w:rFonts w:hint="eastAsia" w:ascii="仿宋_GB2312" w:hAnsi="华文中宋" w:eastAsia="仿宋_GB2312"/>
          <w:snapToGrid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华文中宋" w:eastAsia="仿宋_GB2312"/>
          <w:snapToGrid w:val="0"/>
          <w:color w:val="000000" w:themeColor="text1"/>
          <w:kern w:val="0"/>
          <w:sz w:val="32"/>
          <w:szCs w:val="32"/>
          <w:lang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lang w:eastAsia="zh-CN"/>
          <w14:textFill>
            <w14:solidFill>
              <w14:schemeClr w14:val="tx1"/>
            </w14:solidFill>
          </w14:textFill>
        </w:rPr>
        <w:t>本报告包括</w:t>
      </w:r>
      <w:r>
        <w:rPr>
          <w:rFonts w:ascii="Calibri" w:hAnsi="Calibri" w:eastAsia="仿宋_GB2312" w:cs="Calibri"/>
          <w:color w:val="000000"/>
          <w:sz w:val="32"/>
          <w:szCs w:val="32"/>
        </w:rPr>
        <w:t>概述、政府信息主动公开情况、依申请公开</w:t>
      </w:r>
      <w:r>
        <w:rPr>
          <w:rFonts w:hint="eastAsia" w:ascii="Calibri" w:hAnsi="Calibri" w:eastAsia="仿宋_GB2312" w:cs="Calibri"/>
          <w:color w:val="000000"/>
          <w:sz w:val="32"/>
          <w:szCs w:val="32"/>
          <w:lang w:eastAsia="zh-CN"/>
        </w:rPr>
        <w:t>政府</w:t>
      </w:r>
      <w:r>
        <w:rPr>
          <w:rFonts w:ascii="Calibri" w:hAnsi="Calibri" w:eastAsia="仿宋_GB2312" w:cs="Calibri"/>
          <w:color w:val="000000"/>
          <w:sz w:val="32"/>
          <w:szCs w:val="32"/>
        </w:rPr>
        <w:t>信息情况、政</w:t>
      </w:r>
      <w:r>
        <w:rPr>
          <w:rFonts w:hint="eastAsia" w:ascii="Calibri" w:hAnsi="Calibri" w:eastAsia="仿宋_GB2312" w:cs="Calibri"/>
          <w:color w:val="000000"/>
          <w:sz w:val="32"/>
          <w:szCs w:val="32"/>
          <w:lang w:eastAsia="zh-CN"/>
        </w:rPr>
        <w:t>府</w:t>
      </w:r>
      <w:r>
        <w:rPr>
          <w:rFonts w:ascii="Calibri" w:hAnsi="Calibri" w:eastAsia="仿宋_GB2312" w:cs="Calibri"/>
          <w:color w:val="000000"/>
          <w:sz w:val="32"/>
          <w:szCs w:val="32"/>
        </w:rPr>
        <w:t>信息公开收费情况、行政复议</w:t>
      </w:r>
      <w:r>
        <w:rPr>
          <w:rFonts w:hint="eastAsia" w:ascii="Calibri" w:hAnsi="Calibri" w:eastAsia="仿宋_GB2312" w:cs="Calibri"/>
          <w:color w:val="000000"/>
          <w:sz w:val="32"/>
          <w:szCs w:val="32"/>
          <w:lang w:eastAsia="zh-CN"/>
        </w:rPr>
        <w:t>和</w:t>
      </w:r>
      <w:r>
        <w:rPr>
          <w:rFonts w:ascii="Calibri" w:hAnsi="Calibri" w:eastAsia="仿宋_GB2312" w:cs="Calibri"/>
          <w:color w:val="000000"/>
          <w:sz w:val="32"/>
          <w:szCs w:val="32"/>
        </w:rPr>
        <w:t>行政诉讼情况、</w:t>
      </w:r>
      <w:r>
        <w:rPr>
          <w:rFonts w:hint="eastAsia" w:ascii="Calibri" w:hAnsi="Calibri" w:eastAsia="仿宋_GB2312" w:cs="Calibri"/>
          <w:color w:val="000000"/>
          <w:sz w:val="32"/>
          <w:szCs w:val="32"/>
          <w:lang w:eastAsia="zh-CN"/>
        </w:rPr>
        <w:t>《北京市</w:t>
      </w:r>
      <w:r>
        <w:rPr>
          <w:rFonts w:hint="eastAsia" w:ascii="Calibri" w:hAnsi="Calibri" w:eastAsia="仿宋_GB2312" w:cs="Calibri"/>
          <w:color w:val="000000"/>
          <w:sz w:val="32"/>
          <w:szCs w:val="32"/>
          <w:lang w:val="en-US" w:eastAsia="zh-CN"/>
        </w:rPr>
        <w:t>2016年政务公开工作要点》落实情况、</w:t>
      </w:r>
      <w:r>
        <w:rPr>
          <w:rFonts w:ascii="Calibri" w:hAnsi="Calibri" w:eastAsia="仿宋_GB2312" w:cs="Calibri"/>
          <w:color w:val="000000"/>
          <w:sz w:val="32"/>
          <w:szCs w:val="32"/>
        </w:rPr>
        <w:t>存在</w:t>
      </w:r>
      <w:r>
        <w:rPr>
          <w:rFonts w:hint="eastAsia" w:ascii="Calibri" w:hAnsi="Calibri" w:eastAsia="仿宋_GB2312" w:cs="Calibri"/>
          <w:color w:val="000000"/>
          <w:sz w:val="32"/>
          <w:szCs w:val="32"/>
          <w:lang w:eastAsia="zh-CN"/>
        </w:rPr>
        <w:t>不足</w:t>
      </w:r>
      <w:r>
        <w:rPr>
          <w:rFonts w:ascii="Calibri" w:hAnsi="Calibri" w:eastAsia="仿宋_GB2312" w:cs="Calibri"/>
          <w:color w:val="000000"/>
          <w:sz w:val="32"/>
          <w:szCs w:val="32"/>
        </w:rPr>
        <w:t>及改进措施。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一、</w:t>
      </w:r>
      <w:r>
        <w:rPr>
          <w:rFonts w:hint="eastAsia" w:ascii="黑体" w:hAnsi="仿宋" w:eastAsia="黑体"/>
          <w:bCs/>
          <w:color w:val="000000" w:themeColor="text1"/>
          <w:sz w:val="32"/>
          <w:szCs w:val="32"/>
          <w:lang w:eastAsia="zh-CN"/>
          <w14:textFill>
            <w14:solidFill>
              <w14:schemeClr w14:val="tx1"/>
            </w14:solidFill>
          </w14:textFill>
        </w:rPr>
        <w:t>概述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201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住建委</w:t>
      </w:r>
      <w:r>
        <w:rPr>
          <w:rFonts w:hint="eastAsia" w:ascii="仿宋_GB2312" w:hAnsi="仿宋_GB2312" w:eastAsia="仿宋_GB2312" w:cs="仿宋_GB2312"/>
          <w:sz w:val="32"/>
          <w:szCs w:val="32"/>
        </w:rPr>
        <w:t>认真落实《</w:t>
      </w:r>
      <w:r>
        <w:rPr>
          <w:rFonts w:hint="eastAsia" w:ascii="仿宋_GB2312" w:hAnsi="华文中宋" w:eastAsia="仿宋_GB2312"/>
          <w:snapToGrid w:val="0"/>
          <w:color w:val="000000" w:themeColor="text1"/>
          <w:kern w:val="0"/>
          <w:sz w:val="32"/>
          <w:szCs w:val="32"/>
          <w14:textFill>
            <w14:solidFill>
              <w14:schemeClr w14:val="tx1"/>
            </w14:solidFill>
          </w14:textFill>
        </w:rPr>
        <w:t>中华人民共和国</w:t>
      </w:r>
      <w:r>
        <w:rPr>
          <w:rFonts w:hint="eastAsia" w:ascii="仿宋_GB2312" w:hAnsi="仿宋_GB2312" w:eastAsia="仿宋_GB2312" w:cs="仿宋_GB2312"/>
          <w:sz w:val="32"/>
          <w:szCs w:val="32"/>
        </w:rPr>
        <w:t>政府信息公开条例》</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《北京市政府信息公开规定》及政府信息公开工作要点的各项要求，以及国务院、住房城乡建设部、市</w:t>
      </w:r>
      <w:r>
        <w:rPr>
          <w:rFonts w:hint="eastAsia" w:ascii="仿宋_GB2312" w:hAnsi="仿宋_GB2312" w:eastAsia="仿宋_GB2312" w:cs="仿宋_GB2312"/>
          <w:sz w:val="32"/>
          <w:szCs w:val="32"/>
          <w:lang w:eastAsia="zh-CN"/>
        </w:rPr>
        <w:t>、区两级</w:t>
      </w:r>
      <w:r>
        <w:rPr>
          <w:rFonts w:hint="eastAsia" w:ascii="仿宋_GB2312" w:hAnsi="仿宋_GB2312" w:eastAsia="仿宋_GB2312" w:cs="仿宋_GB2312"/>
          <w:sz w:val="32"/>
          <w:szCs w:val="32"/>
        </w:rPr>
        <w:t>政府的各项工作部署，在做好主动公开和依申请公开日常工作的同时，主要完成以下工作</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b w:val="0"/>
          <w:bCs w:val="0"/>
          <w:color w:val="000000" w:themeColor="text1"/>
          <w:sz w:val="32"/>
          <w:szCs w:val="32"/>
          <w:lang w:val="zh-CN"/>
          <w14:textFill>
            <w14:solidFill>
              <w14:schemeClr w14:val="tx1"/>
            </w14:solidFill>
          </w14:textFill>
        </w:rPr>
        <w:t>（一）</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完善信息公开组织机构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1.成立信息公开领导小组。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由区住建委主任、分管领导和科室负责人组成的区住建委信息</w:t>
      </w:r>
      <w:r>
        <w:rPr>
          <w:rFonts w:hint="eastAsia" w:ascii="仿宋_GB2312" w:hAnsi="仿宋_GB2312" w:eastAsia="仿宋_GB2312" w:cs="仿宋_GB2312"/>
          <w:color w:val="000000" w:themeColor="text1"/>
          <w:kern w:val="0"/>
          <w:sz w:val="32"/>
          <w:szCs w:val="32"/>
          <w14:textFill>
            <w14:solidFill>
              <w14:schemeClr w14:val="tx1"/>
            </w14:solidFill>
          </w14:textFill>
        </w:rPr>
        <w:t>公开工作领导小组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全面</w:t>
      </w:r>
      <w:r>
        <w:rPr>
          <w:rFonts w:hint="eastAsia" w:ascii="仿宋_GB2312" w:hAnsi="仿宋_GB2312" w:eastAsia="仿宋_GB2312" w:cs="仿宋_GB2312"/>
          <w:color w:val="000000" w:themeColor="text1"/>
          <w:kern w:val="0"/>
          <w:sz w:val="32"/>
          <w:szCs w:val="32"/>
          <w14:textFill>
            <w14:solidFill>
              <w14:schemeClr w14:val="tx1"/>
            </w14:solidFill>
          </w14:textFill>
        </w:rPr>
        <w:t>负责</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14:textFill>
            <w14:solidFill>
              <w14:schemeClr w14:val="tx1"/>
            </w14:solidFill>
          </w14:textFill>
        </w:rPr>
        <w:t>公开工作的组织实施。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32"/>
          <w:lang w:val="en-US" w:eastAsia="zh-CN"/>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2.充实信息公开工作人员。</w:t>
      </w:r>
      <w:r>
        <w:rPr>
          <w:rFonts w:hint="eastAsia" w:ascii="仿宋_GB2312" w:hAnsi="仿宋_GB2312" w:eastAsia="仿宋_GB2312" w:cs="仿宋_GB2312"/>
          <w:color w:val="000000" w:themeColor="text1"/>
          <w:kern w:val="0"/>
          <w:sz w:val="32"/>
          <w:szCs w:val="32"/>
          <w14:textFill>
            <w14:solidFill>
              <w14:schemeClr w14:val="tx1"/>
            </w14:solidFill>
          </w14:textFill>
        </w:rPr>
        <w:t>日常工作由办公室负责，</w:t>
      </w:r>
      <w:r>
        <w:rPr>
          <w:rFonts w:hint="eastAsia" w:ascii="仿宋" w:hAnsi="仿宋" w:eastAsia="仿宋" w:cs="仿宋"/>
          <w:sz w:val="32"/>
          <w:szCs w:val="32"/>
          <w:lang w:val="en-US" w:eastAsia="zh-CN"/>
        </w:rPr>
        <w:t>配置4人负责政务公开日常工作，其中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专职人员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1人，兼职人员3名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lang w:val="en-US" w:eastAsia="zh-CN"/>
        </w:rPr>
        <w:t>各科室设置1名政务公开信息员，积极配合办公室信息公开人员工作。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b w:val="0"/>
          <w:bCs w:val="0"/>
          <w:color w:val="000000" w:themeColor="text1"/>
          <w:kern w:val="0"/>
          <w:sz w:val="32"/>
          <w:szCs w:val="32"/>
          <w:lang w:val="en-US" w:eastAsia="zh-CN"/>
          <w14:textFill>
            <w14:solidFill>
              <w14:schemeClr w14:val="tx1"/>
            </w14:solidFill>
          </w14:textFill>
        </w:rPr>
        <w:t>（二）</w:t>
      </w:r>
      <w:r>
        <w:rPr>
          <w:rFonts w:hint="eastAsia" w:ascii="楷体" w:hAnsi="楷体" w:eastAsia="楷体" w:cs="楷体"/>
          <w:b w:val="0"/>
          <w:bCs w:val="0"/>
          <w:color w:val="000000" w:themeColor="text1"/>
          <w:kern w:val="0"/>
          <w:sz w:val="32"/>
          <w:szCs w:val="32"/>
          <w14:textFill>
            <w14:solidFill>
              <w14:schemeClr w14:val="tx1"/>
            </w14:solidFill>
          </w14:textFill>
        </w:rPr>
        <w:t>建立健全</w:t>
      </w:r>
      <w:r>
        <w:rPr>
          <w:rFonts w:hint="eastAsia" w:ascii="楷体" w:hAnsi="楷体" w:eastAsia="楷体" w:cs="楷体"/>
          <w:b w:val="0"/>
          <w:bCs w:val="0"/>
          <w:color w:val="000000" w:themeColor="text1"/>
          <w:kern w:val="0"/>
          <w:sz w:val="32"/>
          <w:szCs w:val="32"/>
          <w:lang w:eastAsia="zh-CN"/>
          <w14:textFill>
            <w14:solidFill>
              <w14:schemeClr w14:val="tx1"/>
            </w14:solidFill>
          </w14:textFill>
        </w:rPr>
        <w:t>信息公开工作</w:t>
      </w:r>
      <w:r>
        <w:rPr>
          <w:rFonts w:hint="eastAsia" w:ascii="楷体" w:hAnsi="楷体" w:eastAsia="楷体" w:cs="楷体"/>
          <w:b w:val="0"/>
          <w:bCs w:val="0"/>
          <w:color w:val="000000" w:themeColor="text1"/>
          <w:kern w:val="0"/>
          <w:sz w:val="32"/>
          <w:szCs w:val="32"/>
          <w14:textFill>
            <w14:solidFill>
              <w14:schemeClr w14:val="tx1"/>
            </w14:solidFill>
          </w14:textFill>
        </w:rPr>
        <w:t>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进一步完善落实政府信息主动公开工作制度、政府信息依申请公开制度、政府信息发布协调制度、政府信息公开保密审查制度等制度的贯彻实施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。制定</w:t>
      </w:r>
      <w:r>
        <w:rPr>
          <w:rFonts w:hint="eastAsia" w:ascii="仿宋" w:hAnsi="仿宋" w:eastAsia="仿宋" w:cs="仿宋"/>
          <w:color w:val="000000" w:themeColor="text1"/>
          <w:sz w:val="32"/>
          <w:szCs w:val="32"/>
          <w:lang w:val="en-US" w:eastAsia="zh-CN"/>
          <w14:textFill>
            <w14:solidFill>
              <w14:schemeClr w14:val="tx1"/>
            </w14:solidFill>
          </w14:textFill>
        </w:rPr>
        <w:t>《北京市密云区住房和城乡建设委员会2016年度政府信息公开工作实施方案》，</w:t>
      </w:r>
      <w:r>
        <w:rPr>
          <w:rFonts w:hint="eastAsia" w:ascii="仿宋_GB2312" w:hAnsi="仿宋_GB2312" w:eastAsia="仿宋_GB2312" w:cs="仿宋_GB2312"/>
          <w:color w:val="000000" w:themeColor="text1"/>
          <w:kern w:val="0"/>
          <w:sz w:val="32"/>
          <w:szCs w:val="32"/>
          <w14:textFill>
            <w14:solidFill>
              <w14:schemeClr w14:val="tx1"/>
            </w14:solidFill>
          </w14:textFill>
        </w:rPr>
        <w:t>明确相关工作任务，落实工作责任，明确主动公开、依申请公开信息的范围和程序，严格信息公开程序、公开信息保密审查，及时发布、更新主动公开信息，认真抓好材料报送，做好监督检查等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b w:val="0"/>
          <w:bCs w:val="0"/>
          <w:color w:val="000000" w:themeColor="text1"/>
          <w:sz w:val="32"/>
          <w:szCs w:val="32"/>
          <w:lang w:val="zh-CN"/>
          <w14:textFill>
            <w14:solidFill>
              <w14:schemeClr w14:val="tx1"/>
            </w14:solidFill>
          </w14:textFill>
        </w:rPr>
        <w:t>（三）</w:t>
      </w:r>
      <w:r>
        <w:rPr>
          <w:rFonts w:hint="eastAsia" w:ascii="楷体" w:hAnsi="楷体" w:eastAsia="楷体" w:cs="楷体"/>
          <w:b w:val="0"/>
          <w:bCs w:val="0"/>
          <w:color w:val="000000" w:themeColor="text1"/>
          <w:kern w:val="0"/>
          <w:sz w:val="32"/>
          <w:szCs w:val="32"/>
          <w:lang w:val="en-US" w:eastAsia="zh-CN"/>
          <w14:textFill>
            <w14:solidFill>
              <w14:schemeClr w14:val="tx1"/>
            </w14:solidFill>
          </w14:textFill>
        </w:rPr>
        <w:t>不断拓宽信息公开渠道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坚持把主动公开作为信息公开的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主要方式</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建立了多样性的政府信息发布途径，扩大主动公开信息量。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以两个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门户</w:t>
      </w:r>
      <w:r>
        <w:rPr>
          <w:rFonts w:hint="eastAsia" w:ascii="仿宋_GB2312" w:hAnsi="仿宋_GB2312" w:eastAsia="仿宋_GB2312" w:cs="仿宋_GB2312"/>
          <w:color w:val="000000" w:themeColor="text1"/>
          <w:kern w:val="0"/>
          <w:sz w:val="32"/>
          <w:szCs w:val="32"/>
          <w14:textFill>
            <w14:solidFill>
              <w14:schemeClr w14:val="tx1"/>
            </w14:solidFill>
          </w14:textFill>
        </w:rPr>
        <w:t>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站为信息主动公开主渠道</w:t>
      </w:r>
    </w:p>
    <w:tbl>
      <w:tblPr>
        <w:tblStyle w:val="9"/>
        <w:tblW w:w="852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261"/>
        <w:gridCol w:w="42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rPr>
          <w:trHeight w:val="0" w:hRule="atLeast"/>
        </w:trPr>
        <w:tc>
          <w:tcPr>
            <w:tcW w:w="4261" w:type="dxa"/>
            <w:tcBorders>
              <w:tl2br w:val="nil"/>
              <w:tr2bl w:val="nil"/>
            </w:tcBorders>
            <w:vAlign w:val="top"/>
          </w:tcPr>
          <w:p>
            <w:pPr>
              <w:widowControl w:val="0"/>
              <w:numPr>
                <w:ilvl w:val="0"/>
                <w:numId w:val="0"/>
              </w:numPr>
              <w:jc w:val="both"/>
              <w:rPr>
                <w:rFonts w:hint="eastAsia" w:ascii="仿宋_GB2312" w:hAnsi="仿宋_GB2312" w:eastAsia="仿宋_GB2312" w:cs="仿宋_GB2312"/>
                <w:color w:val="000000" w:themeColor="text1"/>
                <w:kern w:val="0"/>
                <w:sz w:val="32"/>
                <w:szCs w:val="32"/>
                <w:vertAlign w:val="baseline"/>
                <w:lang w:eastAsia="zh-CN"/>
                <w14:textFill>
                  <w14:solidFill>
                    <w14:schemeClr w14:val="tx1"/>
                  </w14:solidFill>
                </w14:textFill>
              </w:rPr>
            </w:pPr>
            <w:r>
              <w:drawing>
                <wp:inline distT="0" distB="0" distL="114300" distR="114300">
                  <wp:extent cx="2623820" cy="1439545"/>
                  <wp:effectExtent l="0" t="0" r="5080" b="825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2623820" cy="1439545"/>
                          </a:xfrm>
                          <a:prstGeom prst="rect">
                            <a:avLst/>
                          </a:prstGeom>
                          <a:noFill/>
                          <a:ln w="9525">
                            <a:noFill/>
                          </a:ln>
                        </pic:spPr>
                      </pic:pic>
                    </a:graphicData>
                  </a:graphic>
                </wp:inline>
              </w:drawing>
            </w:r>
          </w:p>
        </w:tc>
        <w:tc>
          <w:tcPr>
            <w:tcW w:w="4261" w:type="dxa"/>
            <w:tcBorders>
              <w:tl2br w:val="nil"/>
              <w:tr2bl w:val="nil"/>
            </w:tcBorders>
            <w:vAlign w:val="top"/>
          </w:tcPr>
          <w:p>
            <w:pPr>
              <w:widowControl w:val="0"/>
              <w:numPr>
                <w:ilvl w:val="0"/>
                <w:numId w:val="0"/>
              </w:numPr>
              <w:jc w:val="both"/>
              <w:rPr>
                <w:rFonts w:hint="eastAsia" w:ascii="仿宋_GB2312" w:hAnsi="仿宋_GB2312" w:eastAsia="仿宋_GB2312" w:cs="仿宋_GB2312"/>
                <w:color w:val="000000" w:themeColor="text1"/>
                <w:kern w:val="0"/>
                <w:sz w:val="32"/>
                <w:szCs w:val="32"/>
                <w:vertAlign w:val="baseline"/>
                <w:lang w:eastAsia="zh-CN"/>
                <w14:textFill>
                  <w14:solidFill>
                    <w14:schemeClr w14:val="tx1"/>
                  </w14:solidFill>
                </w14:textFill>
              </w:rPr>
            </w:pPr>
            <w:r>
              <w:drawing>
                <wp:inline distT="0" distB="0" distL="114300" distR="114300">
                  <wp:extent cx="2564765" cy="1445260"/>
                  <wp:effectExtent l="0" t="0" r="6985" b="254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stretch>
                            <a:fillRect/>
                          </a:stretch>
                        </pic:blipFill>
                        <pic:spPr>
                          <a:xfrm>
                            <a:off x="0" y="0"/>
                            <a:ext cx="2564765" cy="1445260"/>
                          </a:xfrm>
                          <a:prstGeom prst="rect">
                            <a:avLst/>
                          </a:prstGeom>
                          <a:noFill/>
                          <a:ln w="9525">
                            <a:noFill/>
                          </a:ln>
                        </pic:spPr>
                      </pic:pic>
                    </a:graphicData>
                  </a:graphic>
                </wp:inline>
              </w:drawing>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rPr>
          <w:trHeight w:val="0" w:hRule="atLeast"/>
        </w:trPr>
        <w:tc>
          <w:tcPr>
            <w:tcW w:w="4261" w:type="dxa"/>
            <w:tcBorders>
              <w:tl2br w:val="nil"/>
              <w:tr2bl w:val="nil"/>
            </w:tcBorders>
            <w:vAlign w:val="top"/>
          </w:tcPr>
          <w:p>
            <w:pPr>
              <w:widowControl w:val="0"/>
              <w:numPr>
                <w:ilvl w:val="0"/>
                <w:numId w:val="0"/>
              </w:numPr>
              <w:jc w:val="center"/>
              <w:rPr>
                <w:rFonts w:hint="eastAsia" w:ascii="仿宋_GB2312" w:hAnsi="仿宋_GB2312" w:eastAsia="仿宋_GB2312" w:cs="仿宋_GB2312"/>
                <w:color w:val="000000" w:themeColor="text1"/>
                <w:kern w:val="0"/>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区政府网站</w:t>
            </w:r>
          </w:p>
        </w:tc>
        <w:tc>
          <w:tcPr>
            <w:tcW w:w="4261" w:type="dxa"/>
            <w:tcBorders>
              <w:tl2br w:val="nil"/>
              <w:tr2bl w:val="nil"/>
            </w:tcBorders>
            <w:vAlign w:val="top"/>
          </w:tcPr>
          <w:p>
            <w:pPr>
              <w:widowControl w:val="0"/>
              <w:numPr>
                <w:ilvl w:val="0"/>
                <w:numId w:val="0"/>
              </w:numPr>
              <w:jc w:val="center"/>
              <w:rPr>
                <w:rFonts w:hint="eastAsia" w:ascii="仿宋_GB2312" w:hAnsi="仿宋_GB2312" w:eastAsia="仿宋_GB2312" w:cs="仿宋_GB2312"/>
                <w:color w:val="000000" w:themeColor="text1"/>
                <w:kern w:val="0"/>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vertAlign w:val="baseline"/>
                <w:lang w:eastAsia="zh-CN"/>
                <w14:textFill>
                  <w14:solidFill>
                    <w14:schemeClr w14:val="tx1"/>
                  </w14:solidFill>
                </w14:textFill>
              </w:rPr>
              <w:t>区住建委网站</w:t>
            </w:r>
          </w:p>
        </w:tc>
      </w:tr>
    </w:tbl>
    <w:p>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以其他方式为信息主动公开的辅助渠道</w:t>
      </w:r>
    </w:p>
    <w:p>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（1）在区住建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委办公楼一楼大厅设置政务公开栏、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显示屏、文件索取点，主动公开部门职责、领导分工、办事流程等内容。</w:t>
      </w:r>
    </w:p>
    <w:p>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（2）在施工现场、公园、市场等人群聚集的地方通过展板、发放宣传册、知识讲解等形式做好施工安全、房屋安全和保障房政策等方面的宣传工作。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b w:val="0"/>
          <w:bCs w:val="0"/>
          <w:color w:val="000000" w:themeColor="text1"/>
          <w:kern w:val="0"/>
          <w:sz w:val="32"/>
          <w:szCs w:val="32"/>
          <w:lang w:val="en-US" w:eastAsia="zh-CN"/>
          <w14:textFill>
            <w14:solidFill>
              <w14:schemeClr w14:val="tx1"/>
            </w14:solidFill>
          </w14:textFill>
        </w:rPr>
        <w:t>（四）不断</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加大信息</w:t>
      </w:r>
      <w:r>
        <w:rPr>
          <w:rFonts w:hint="eastAsia" w:ascii="楷体" w:hAnsi="楷体" w:eastAsia="楷体" w:cs="楷体"/>
          <w:b w:val="0"/>
          <w:bCs w:val="0"/>
          <w:color w:val="000000" w:themeColor="text1"/>
          <w:kern w:val="0"/>
          <w:sz w:val="32"/>
          <w:szCs w:val="32"/>
          <w14:textFill>
            <w14:solidFill>
              <w14:schemeClr w14:val="tx1"/>
            </w14:solidFill>
          </w14:textFill>
        </w:rPr>
        <w:t>公开</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及时公开保障房建设、分配和后期管理、棚户区改造、京沈客专等重大项目征收拆迁、物业管理、政府重点工程建设</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重要领域的</w:t>
      </w:r>
      <w:r>
        <w:rPr>
          <w:rFonts w:hint="eastAsia" w:ascii="仿宋_GB2312" w:hAnsi="仿宋_GB2312" w:eastAsia="仿宋_GB2312" w:cs="仿宋_GB2312"/>
          <w:color w:val="000000" w:themeColor="text1"/>
          <w:kern w:val="0"/>
          <w:sz w:val="32"/>
          <w:szCs w:val="32"/>
          <w14:textFill>
            <w14:solidFill>
              <w14:schemeClr w14:val="tx1"/>
            </w14:solidFill>
          </w14:textFill>
        </w:rPr>
        <w:t>信息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公开。</w:t>
      </w:r>
    </w:p>
    <w:p>
      <w:pPr>
        <w:widowControl w:val="0"/>
        <w:numPr>
          <w:ilvl w:val="0"/>
          <w:numId w:val="0"/>
        </w:numPr>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drawing>
          <wp:inline distT="0" distB="0" distL="114300" distR="114300">
            <wp:extent cx="2556510" cy="1382395"/>
            <wp:effectExtent l="12700" t="12700" r="21590" b="1460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2"/>
                    <a:stretch>
                      <a:fillRect/>
                    </a:stretch>
                  </pic:blipFill>
                  <pic:spPr>
                    <a:xfrm>
                      <a:off x="0" y="0"/>
                      <a:ext cx="2556510" cy="1382395"/>
                    </a:xfrm>
                    <a:prstGeom prst="rect">
                      <a:avLst/>
                    </a:prstGeom>
                    <a:noFill/>
                    <a:ln w="12700" cmpd="sng">
                      <a:solidFill>
                        <a:schemeClr val="accent1">
                          <a:shade val="50000"/>
                        </a:schemeClr>
                      </a:solidFill>
                      <a:prstDash val="solid"/>
                    </a:ln>
                  </pic:spPr>
                </pic:pic>
              </a:graphicData>
            </a:graphic>
          </wp:inline>
        </w:drawing>
      </w:r>
      <w:r>
        <w:drawing>
          <wp:inline distT="0" distB="0" distL="114300" distR="114300">
            <wp:extent cx="2583815" cy="1402080"/>
            <wp:effectExtent l="0" t="0" r="6985" b="762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3"/>
                    <a:stretch>
                      <a:fillRect/>
                    </a:stretch>
                  </pic:blipFill>
                  <pic:spPr>
                    <a:xfrm>
                      <a:off x="0" y="0"/>
                      <a:ext cx="2583815" cy="140208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及时公开以城乡建设重大决策为重点的各类热点信息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，积极</w:t>
      </w:r>
      <w:r>
        <w:rPr>
          <w:rFonts w:hint="eastAsia" w:ascii="仿宋_GB2312" w:hAnsi="仿宋_GB2312" w:eastAsia="仿宋_GB2312" w:cs="仿宋_GB2312"/>
          <w:color w:val="000000" w:themeColor="text1"/>
          <w:kern w:val="0"/>
          <w:sz w:val="32"/>
          <w:szCs w:val="32"/>
          <w14:textFill>
            <w14:solidFill>
              <w14:schemeClr w14:val="tx1"/>
            </w14:solidFill>
          </w14:textFill>
        </w:rPr>
        <w:t>回应社会关切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群众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关心的问题</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做好政策解读，</w:t>
      </w:r>
      <w:r>
        <w:rPr>
          <w:rFonts w:hint="eastAsia" w:ascii="仿宋_GB2312" w:hAnsi="仿宋_GB2312" w:eastAsia="仿宋_GB2312" w:cs="仿宋_GB2312"/>
          <w:color w:val="000000" w:themeColor="text1"/>
          <w:kern w:val="0"/>
          <w:sz w:val="32"/>
          <w:szCs w:val="32"/>
          <w14:textFill>
            <w14:solidFill>
              <w14:schemeClr w14:val="tx1"/>
            </w14:solidFill>
          </w14:textFill>
        </w:rPr>
        <w:t>主动接受社会各界的监督，做到信息公开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经常化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b w:val="0"/>
          <w:bCs/>
          <w:i w:val="0"/>
          <w:sz w:val="32"/>
          <w:szCs w:val="32"/>
          <w:shd w:val="clear" w:color="auto" w:fill="FFFFFF"/>
          <w:lang w:val="en-US" w:eastAsia="zh-CN"/>
        </w:rPr>
        <w:t>3.加快推进“双随机、一公开”监管模式，加大行政审批、行政处罚、执法检查方面的信息公开。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Arial" w:eastAsia="仿宋_GB2312" w:cs="Arial"/>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b w:val="0"/>
          <w:bCs w:val="0"/>
          <w:color w:val="000000" w:themeColor="text1"/>
          <w:sz w:val="32"/>
          <w:szCs w:val="32"/>
          <w:lang w:val="en-US" w:eastAsia="zh-CN"/>
          <w14:textFill>
            <w14:solidFill>
              <w14:schemeClr w14:val="tx1"/>
            </w14:solidFill>
          </w14:textFill>
        </w:rPr>
        <w:t>（五）</w:t>
      </w:r>
      <w:r>
        <w:rPr>
          <w:rFonts w:hint="eastAsia" w:ascii="楷体" w:hAnsi="楷体" w:eastAsia="楷体" w:cs="楷体"/>
          <w:b w:val="0"/>
          <w:bCs w:val="0"/>
          <w:color w:val="000000" w:themeColor="text1"/>
          <w:sz w:val="32"/>
          <w:szCs w:val="32"/>
          <w14:textFill>
            <w14:solidFill>
              <w14:schemeClr w14:val="tx1"/>
            </w14:solidFill>
          </w14:textFill>
        </w:rPr>
        <w:t>加强</w:t>
      </w:r>
      <w:r>
        <w:rPr>
          <w:rFonts w:hint="eastAsia" w:ascii="楷体" w:hAnsi="楷体" w:eastAsia="楷体" w:cs="楷体"/>
          <w:b w:val="0"/>
          <w:bCs w:val="0"/>
          <w:color w:val="000000" w:themeColor="text1"/>
          <w:sz w:val="32"/>
          <w:szCs w:val="32"/>
          <w:lang w:eastAsia="zh-CN"/>
          <w14:textFill>
            <w14:solidFill>
              <w14:schemeClr w14:val="tx1"/>
            </w14:solidFill>
          </w14:textFill>
        </w:rPr>
        <w:t>信息公开</w:t>
      </w:r>
      <w:r>
        <w:rPr>
          <w:rFonts w:hint="eastAsia" w:ascii="楷体" w:hAnsi="楷体" w:eastAsia="楷体" w:cs="楷体"/>
          <w:b w:val="0"/>
          <w:bCs w:val="0"/>
          <w:color w:val="000000" w:themeColor="text1"/>
          <w:sz w:val="32"/>
          <w:szCs w:val="32"/>
          <w14:textFill>
            <w14:solidFill>
              <w14:schemeClr w14:val="tx1"/>
            </w14:solidFill>
          </w14:textFill>
        </w:rPr>
        <w:t>业务培训</w:t>
      </w:r>
      <w:r>
        <w:rPr>
          <w:rFonts w:hint="eastAsia" w:ascii="楷体" w:hAnsi="楷体" w:eastAsia="楷体" w:cs="楷体"/>
          <w:b w:val="0"/>
          <w:bCs w:val="0"/>
          <w:color w:val="000000" w:themeColor="text1"/>
          <w:sz w:val="32"/>
          <w:szCs w:val="32"/>
          <w:lang w:eastAsia="zh-CN"/>
          <w14:textFill>
            <w14:solidFill>
              <w14:schemeClr w14:val="tx1"/>
            </w14:solidFill>
          </w14:textFill>
        </w:rPr>
        <w:t>和考核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Arial" w:eastAsia="仿宋_GB2312" w:cs="Arial"/>
          <w:color w:val="000000" w:themeColor="text1"/>
          <w:sz w:val="32"/>
          <w:szCs w:val="32"/>
          <w:lang w:eastAsia="zh-CN"/>
          <w14:textFill>
            <w14:solidFill>
              <w14:schemeClr w14:val="tx1"/>
            </w14:solidFill>
          </w14:textFill>
        </w:rPr>
        <w:t>组织全委</w:t>
      </w:r>
      <w:r>
        <w:rPr>
          <w:rFonts w:hint="eastAsia" w:ascii="仿宋_GB2312" w:eastAsia="仿宋_GB2312"/>
          <w:color w:val="000000" w:themeColor="text1"/>
          <w:sz w:val="32"/>
          <w:szCs w:val="32"/>
          <w14:textFill>
            <w14:solidFill>
              <w14:schemeClr w14:val="tx1"/>
            </w14:solidFill>
          </w14:textFill>
        </w:rPr>
        <w:t>信息公开工作人员集体学习</w:t>
      </w:r>
      <w:r>
        <w:rPr>
          <w:rFonts w:hint="eastAsia" w:ascii="仿宋_GB2312" w:eastAsia="仿宋_GB2312"/>
          <w:color w:val="000000" w:themeColor="text1"/>
          <w:sz w:val="32"/>
          <w:szCs w:val="32"/>
          <w:lang w:eastAsia="zh-CN"/>
          <w14:textFill>
            <w14:solidFill>
              <w14:schemeClr w14:val="tx1"/>
            </w14:solidFill>
          </w14:textFill>
        </w:rPr>
        <w:t>了</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北京市政府信息公开规定</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，宣贯了《密云区</w:t>
      </w:r>
      <w:r>
        <w:rPr>
          <w:rFonts w:hint="eastAsia" w:ascii="仿宋_GB2312" w:eastAsia="仿宋_GB2312"/>
          <w:color w:val="000000" w:themeColor="text1"/>
          <w:sz w:val="32"/>
          <w:szCs w:val="32"/>
          <w:lang w:val="en-US" w:eastAsia="zh-CN"/>
          <w14:textFill>
            <w14:solidFill>
              <w14:schemeClr w14:val="tx1"/>
            </w14:solidFill>
          </w14:textFill>
        </w:rPr>
        <w:t>2016年政府信息公开工作要点》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不断增强</w:t>
      </w:r>
      <w:r>
        <w:rPr>
          <w:rFonts w:ascii="仿宋_GB2312" w:eastAsia="仿宋_GB2312"/>
          <w:color w:val="000000" w:themeColor="text1"/>
          <w:sz w:val="32"/>
          <w:szCs w:val="32"/>
          <w14:textFill>
            <w14:solidFill>
              <w14:schemeClr w14:val="tx1"/>
            </w14:solidFill>
          </w14:textFill>
        </w:rPr>
        <w:t>信息公开意识</w:t>
      </w:r>
      <w:r>
        <w:rPr>
          <w:rFonts w:hint="eastAsia" w:ascii="仿宋_GB2312" w:eastAsia="仿宋_GB2312"/>
          <w:color w:val="000000" w:themeColor="text1"/>
          <w:sz w:val="32"/>
          <w:szCs w:val="32"/>
          <w14:textFill>
            <w14:solidFill>
              <w14:schemeClr w14:val="tx1"/>
            </w14:solidFill>
          </w14:textFill>
        </w:rPr>
        <w:t>，规范信息公开行为。</w:t>
      </w:r>
      <w:r>
        <w:rPr>
          <w:rFonts w:hint="eastAsia" w:ascii="仿宋_GB2312" w:eastAsia="仿宋_GB2312"/>
          <w:color w:val="000000" w:themeColor="text1"/>
          <w:sz w:val="32"/>
          <w:szCs w:val="32"/>
          <w:lang w:eastAsia="zh-CN"/>
          <w14:textFill>
            <w14:solidFill>
              <w14:schemeClr w14:val="tx1"/>
            </w14:solidFill>
          </w14:textFill>
        </w:rPr>
        <w:t>每月通报各科室报送信息情况，并作为评优评先的依据。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二、政府信息主动公开情况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楷体_GB2312" w:hAnsi="华文中宋" w:eastAsia="楷体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 w:hAnsi="楷体" w:eastAsia="楷体" w:cs="楷体"/>
          <w:snapToGrid w:val="0"/>
          <w:color w:val="000000" w:themeColor="text1"/>
          <w:kern w:val="0"/>
          <w:sz w:val="32"/>
          <w:szCs w:val="32"/>
          <w14:textFill>
            <w14:solidFill>
              <w14:schemeClr w14:val="tx1"/>
            </w14:solidFill>
          </w14:textFill>
        </w:rPr>
        <w:t>（一）公开情况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对应主动公开的内容，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通过各类</w:t>
      </w:r>
      <w:r>
        <w:rPr>
          <w:rFonts w:hint="eastAsia" w:ascii="仿宋_GB2312" w:hAnsi="仿宋_GB2312" w:eastAsia="仿宋_GB2312" w:cs="仿宋_GB2312"/>
          <w:color w:val="000000" w:themeColor="text1"/>
          <w:kern w:val="0"/>
          <w:sz w:val="32"/>
          <w:szCs w:val="32"/>
          <w14:textFill>
            <w14:solidFill>
              <w14:schemeClr w14:val="tx1"/>
            </w14:solidFill>
          </w14:textFill>
        </w:rPr>
        <w:t>网站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、服务窗口、大厅显示屏等方式</w:t>
      </w:r>
      <w:r>
        <w:rPr>
          <w:rFonts w:hint="eastAsia" w:ascii="仿宋_GB2312" w:hAnsi="仿宋_GB2312" w:eastAsia="仿宋_GB2312" w:cs="仿宋_GB2312"/>
          <w:color w:val="000000" w:themeColor="text1"/>
          <w:kern w:val="0"/>
          <w:sz w:val="32"/>
          <w:szCs w:val="32"/>
          <w14:textFill>
            <w14:solidFill>
              <w14:schemeClr w14:val="tx1"/>
            </w14:solidFill>
          </w14:textFill>
        </w:rPr>
        <w:t>进行了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信息公开，全年</w:t>
      </w:r>
      <w:r>
        <w:rPr>
          <w:rFonts w:hint="eastAsia" w:ascii="仿宋_GB2312" w:hAnsi="仿宋_GB2312" w:eastAsia="仿宋_GB2312" w:cs="仿宋_GB2312"/>
          <w:color w:val="000000" w:themeColor="text1"/>
          <w:kern w:val="0"/>
          <w:sz w:val="32"/>
          <w:szCs w:val="32"/>
          <w14:textFill>
            <w14:solidFill>
              <w14:schemeClr w14:val="tx1"/>
            </w14:solidFill>
          </w14:textFill>
        </w:rPr>
        <w:t>主动公开政府信息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693</w:t>
      </w:r>
      <w:r>
        <w:rPr>
          <w:rFonts w:hint="eastAsia" w:ascii="仿宋_GB2312" w:hAnsi="仿宋_GB2312" w:eastAsia="仿宋_GB2312" w:cs="仿宋_GB2312"/>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，同比增加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numPr>
          <w:ilvl w:val="0"/>
          <w:numId w:val="0"/>
        </w:numP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在区政府政务</w:t>
      </w:r>
      <w:r>
        <w:rPr>
          <w:rFonts w:hint="eastAsia" w:ascii="仿宋_GB2312" w:hAnsi="仿宋_GB2312" w:eastAsia="仿宋_GB2312" w:cs="仿宋_GB2312"/>
          <w:color w:val="000000" w:themeColor="text1"/>
          <w:kern w:val="0"/>
          <w:sz w:val="32"/>
          <w:szCs w:val="32"/>
          <w14:textFill>
            <w14:solidFill>
              <w14:schemeClr w14:val="tx1"/>
            </w14:solidFill>
          </w14:textFill>
        </w:rPr>
        <w:t>网站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公开信息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693</w:t>
      </w:r>
      <w:r>
        <w:rPr>
          <w:rFonts w:hint="eastAsia" w:ascii="仿宋_GB2312" w:hAnsi="仿宋_GB2312" w:eastAsia="仿宋_GB2312" w:cs="仿宋_GB2312"/>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,同比增加4倍。</w:t>
      </w:r>
    </w:p>
    <w:p>
      <w:pPr>
        <w:widowControl w:val="0"/>
        <w:numPr>
          <w:ilvl w:val="0"/>
          <w:numId w:val="0"/>
        </w:numPr>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drawing>
          <wp:inline distT="0" distB="0" distL="114300" distR="114300">
            <wp:extent cx="3867785" cy="1461135"/>
            <wp:effectExtent l="4445" t="4445" r="13970" b="203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0"/>
        </w:numPr>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在区住建委门户网站公开信息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611条，同比增加5倍。</w:t>
      </w:r>
    </w:p>
    <w:p>
      <w:pPr>
        <w:numPr>
          <w:ilvl w:val="0"/>
          <w:numId w:val="0"/>
        </w:numPr>
        <w:ind w:left="0" w:leftChars="0" w:firstLine="840" w:firstLineChars="0"/>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drawing>
          <wp:inline distT="0" distB="0" distL="114300" distR="114300">
            <wp:extent cx="3852545" cy="1485265"/>
            <wp:effectExtent l="0" t="0" r="1460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3852545" cy="148526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密云情况、昨日区情</w:t>
      </w:r>
      <w:r>
        <w:rPr>
          <w:rFonts w:hint="eastAsia" w:ascii="仿宋_GB2312" w:hAnsi="仿宋_GB2312" w:eastAsia="仿宋_GB2312" w:cs="仿宋_GB2312"/>
          <w:color w:val="000000" w:themeColor="text1"/>
          <w:kern w:val="0"/>
          <w:sz w:val="32"/>
          <w:szCs w:val="32"/>
          <w14:textFill>
            <w14:solidFill>
              <w14:schemeClr w14:val="tx1"/>
            </w14:solidFill>
          </w14:textFill>
        </w:rPr>
        <w:t>报送并采用信息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条，同比增加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w:t>
      </w:r>
      <w:r>
        <w:rPr>
          <w:rFonts w:hint="eastAsia" w:ascii="仿宋_GB2312" w:hAnsi="宋体" w:eastAsia="仿宋_GB2312" w:cs="宋体"/>
          <w:color w:val="000000" w:themeColor="text1"/>
          <w:kern w:val="0"/>
          <w:sz w:val="32"/>
          <w:szCs w:val="32"/>
          <w:lang w:eastAsia="zh-CN"/>
          <w14:textFill>
            <w14:solidFill>
              <w14:schemeClr w14:val="tx1"/>
            </w14:solidFill>
          </w14:textFill>
        </w:rPr>
        <w:t>北京新闻、</w:t>
      </w:r>
      <w:r>
        <w:rPr>
          <w:rFonts w:hint="eastAsia" w:ascii="仿宋_GB2312" w:hAnsi="宋体" w:eastAsia="仿宋_GB2312" w:cs="宋体"/>
          <w:color w:val="000000" w:themeColor="text1"/>
          <w:kern w:val="0"/>
          <w:sz w:val="32"/>
          <w:szCs w:val="32"/>
          <w14:textFill>
            <w14:solidFill>
              <w14:schemeClr w14:val="tx1"/>
            </w14:solidFill>
          </w14:textFill>
        </w:rPr>
        <w:t>密云</w:t>
      </w:r>
      <w:r>
        <w:rPr>
          <w:rFonts w:hint="eastAsia" w:ascii="仿宋_GB2312" w:hAnsi="宋体" w:eastAsia="仿宋_GB2312" w:cs="宋体"/>
          <w:color w:val="000000" w:themeColor="text1"/>
          <w:kern w:val="0"/>
          <w:sz w:val="32"/>
          <w:szCs w:val="32"/>
          <w:lang w:eastAsia="zh-CN"/>
          <w14:textFill>
            <w14:solidFill>
              <w14:schemeClr w14:val="tx1"/>
            </w14:solidFill>
          </w14:textFill>
        </w:rPr>
        <w:t>新闻等</w:t>
      </w:r>
      <w:r>
        <w:rPr>
          <w:rFonts w:hint="eastAsia" w:ascii="仿宋_GB2312" w:hAnsi="宋体" w:eastAsia="仿宋_GB2312" w:cs="宋体"/>
          <w:color w:val="000000" w:themeColor="text1"/>
          <w:kern w:val="0"/>
          <w:sz w:val="32"/>
          <w:szCs w:val="32"/>
          <w14:textFill>
            <w14:solidFill>
              <w14:schemeClr w14:val="tx1"/>
            </w14:solidFill>
          </w14:textFill>
        </w:rPr>
        <w:t>媒体播放新闻</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90</w:t>
      </w:r>
      <w:r>
        <w:rPr>
          <w:rFonts w:hint="eastAsia" w:ascii="仿宋_GB2312" w:hAnsi="宋体" w:eastAsia="仿宋_GB2312" w:cs="宋体"/>
          <w:color w:val="000000" w:themeColor="text1"/>
          <w:kern w:val="0"/>
          <w:sz w:val="32"/>
          <w:szCs w:val="32"/>
          <w14:textFill>
            <w14:solidFill>
              <w14:schemeClr w14:val="tx1"/>
            </w14:solidFill>
          </w14:textFill>
        </w:rPr>
        <w:t>条</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,同比增加66条</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eastAsia="仿宋_GB2312"/>
          <w:b/>
          <w:bCs/>
          <w:spacing w:val="8"/>
          <w:sz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14:textFill>
            <w14:solidFill>
              <w14:schemeClr w14:val="tx1"/>
            </w14:solidFill>
          </w14:textFill>
        </w:rPr>
        <w:t>印发住建委动态</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85</w:t>
      </w:r>
      <w:r>
        <w:rPr>
          <w:rFonts w:hint="eastAsia" w:ascii="仿宋_GB2312" w:hAnsi="宋体" w:eastAsia="仿宋_GB2312" w:cs="宋体"/>
          <w:color w:val="000000" w:themeColor="text1"/>
          <w:kern w:val="0"/>
          <w:sz w:val="32"/>
          <w:szCs w:val="32"/>
          <w14:textFill>
            <w14:solidFill>
              <w14:schemeClr w14:val="tx1"/>
            </w14:solidFill>
          </w14:textFill>
        </w:rPr>
        <w:t>期</w:t>
      </w:r>
      <w:r>
        <w:rPr>
          <w:rFonts w:hint="eastAsia" w:ascii="仿宋_GB2312" w:hAnsi="宋体" w:eastAsia="仿宋_GB2312" w:cs="宋体"/>
          <w:color w:val="000000" w:themeColor="text1"/>
          <w:kern w:val="0"/>
          <w:sz w:val="32"/>
          <w:szCs w:val="32"/>
          <w:lang w:eastAsia="zh-CN"/>
          <w14:textFill>
            <w14:solidFill>
              <w14:schemeClr w14:val="tx1"/>
            </w14:solidFill>
          </w14:textFill>
        </w:rPr>
        <w:t>，同比增加</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73期</w:t>
      </w:r>
      <w:r>
        <w:rPr>
          <w:rFonts w:hint="eastAsia" w:ascii="仿宋_GB2312" w:hAnsi="宋体" w:eastAsia="仿宋_GB2312" w:cs="宋体"/>
          <w:color w:val="000000" w:themeColor="text1"/>
          <w:kern w:val="0"/>
          <w:sz w:val="32"/>
          <w:szCs w:val="32"/>
          <w:lang w:eastAsia="zh-CN"/>
          <w14:textFill>
            <w14:solidFill>
              <w14:schemeClr w14:val="tx1"/>
            </w14:solidFill>
          </w14:textFill>
        </w:rPr>
        <w:t>。其中物业管理专</w:t>
      </w:r>
      <w:r>
        <w:rPr>
          <w:rFonts w:hint="eastAsia" w:ascii="仿宋_GB2312" w:eastAsia="仿宋_GB2312"/>
          <w:b w:val="0"/>
          <w:bCs w:val="0"/>
          <w:spacing w:val="8"/>
          <w:sz w:val="32"/>
        </w:rPr>
        <w:t>刊</w:t>
      </w:r>
      <w:r>
        <w:rPr>
          <w:rFonts w:hint="eastAsia" w:ascii="仿宋_GB2312" w:eastAsia="仿宋_GB2312"/>
          <w:b w:val="0"/>
          <w:bCs w:val="0"/>
          <w:spacing w:val="8"/>
          <w:sz w:val="32"/>
          <w:lang w:val="en-US" w:eastAsia="zh-CN"/>
        </w:rPr>
        <w:t>43期，京沈客专拆迁26期。</w:t>
      </w:r>
    </w:p>
    <w:p>
      <w:pPr>
        <w:numPr>
          <w:ilvl w:val="0"/>
          <w:numId w:val="0"/>
        </w:numPr>
        <w:ind w:left="0" w:leftChars="0" w:firstLine="420" w:firstLineChars="200"/>
        <w:rPr>
          <w:rFonts w:hint="eastAsia" w:ascii="仿宋_GB2312" w:eastAsia="仿宋_GB2312"/>
          <w:b/>
          <w:bCs/>
          <w:spacing w:val="8"/>
          <w:sz w:val="32"/>
          <w:lang w:val="en-US" w:eastAsia="zh-CN"/>
        </w:rPr>
      </w:pPr>
      <w:r>
        <w:drawing>
          <wp:inline distT="0" distB="0" distL="114300" distR="114300">
            <wp:extent cx="2532380" cy="1471295"/>
            <wp:effectExtent l="9525" t="9525" r="10795" b="2413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6"/>
                    <a:stretch>
                      <a:fillRect/>
                    </a:stretch>
                  </pic:blipFill>
                  <pic:spPr>
                    <a:xfrm>
                      <a:off x="0" y="0"/>
                      <a:ext cx="2532380" cy="1471295"/>
                    </a:xfrm>
                    <a:prstGeom prst="rect">
                      <a:avLst/>
                    </a:prstGeom>
                    <a:noFill/>
                    <a:ln w="6350" cmpd="sng">
                      <a:solidFill>
                        <a:schemeClr val="accent1">
                          <a:shade val="50000"/>
                        </a:schemeClr>
                      </a:solidFill>
                      <a:prstDash val="solid"/>
                    </a:ln>
                  </pic:spPr>
                </pic:pic>
              </a:graphicData>
            </a:graphic>
          </wp:inline>
        </w:drawing>
      </w:r>
      <w:r>
        <w:drawing>
          <wp:inline distT="0" distB="0" distL="114300" distR="114300">
            <wp:extent cx="2228215" cy="1471295"/>
            <wp:effectExtent l="9525" t="9525" r="10160" b="2413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7"/>
                    <a:stretch>
                      <a:fillRect/>
                    </a:stretch>
                  </pic:blipFill>
                  <pic:spPr>
                    <a:xfrm>
                      <a:off x="0" y="0"/>
                      <a:ext cx="2228215" cy="1471295"/>
                    </a:xfrm>
                    <a:prstGeom prst="rect">
                      <a:avLst/>
                    </a:prstGeom>
                    <a:noFill/>
                    <a:ln w="6350" cmpd="sng">
                      <a:solidFill>
                        <a:schemeClr val="accent1">
                          <a:shade val="50000"/>
                        </a:schemeClr>
                      </a:solidFill>
                      <a:prstDash val="solid"/>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楷体_GB2312" w:hAnsi="华文中宋" w:eastAsia="楷体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_GB2312" w:hAnsi="华文中宋" w:eastAsia="楷体_GB2312"/>
          <w:snapToGrid w:val="0"/>
          <w:color w:val="000000" w:themeColor="text1"/>
          <w:kern w:val="0"/>
          <w:sz w:val="32"/>
          <w:szCs w:val="32"/>
          <w14:textFill>
            <w14:solidFill>
              <w14:schemeClr w14:val="tx1"/>
            </w14:solidFill>
          </w14:textFill>
        </w:rPr>
        <w:t>（二）咨询情况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年，我委共接受公民、法人及其他组织就相关政府信息的咨询</w:t>
      </w:r>
      <w:r>
        <w:rPr>
          <w:rFonts w:hint="eastAsia" w:ascii="仿宋_GB2312" w:hAnsi="仿宋" w:eastAsia="仿宋_GB2312"/>
          <w:color w:val="000000" w:themeColor="text1"/>
          <w:sz w:val="32"/>
          <w:szCs w:val="32"/>
          <w:lang w:val="en-US" w:eastAsia="zh-CN"/>
          <w14:textFill>
            <w14:solidFill>
              <w14:schemeClr w14:val="tx1"/>
            </w14:solidFill>
          </w14:textFill>
        </w:rPr>
        <w:t>3500</w:t>
      </w:r>
      <w:r>
        <w:rPr>
          <w:rFonts w:hint="eastAsia" w:ascii="仿宋_GB2312" w:hAnsi="仿宋"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三、政府信息依申请公开情况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u w:val="none"/>
          <w14:textFill>
            <w14:solidFill>
              <w14:schemeClr w14:val="tx1"/>
            </w14:solidFill>
          </w14:textFill>
        </w:rPr>
        <w:t>全年收到依申请公开政府信息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u w:val="none"/>
          <w14:textFill>
            <w14:solidFill>
              <w14:schemeClr w14:val="tx1"/>
            </w14:solidFill>
          </w14:textFill>
        </w:rPr>
        <w:t>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同比增加</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33件，</w:t>
      </w:r>
      <w:r>
        <w:rPr>
          <w:rFonts w:hint="eastAsia" w:ascii="仿宋_GB2312" w:hAnsi="仿宋_GB2312" w:eastAsia="仿宋_GB2312" w:cs="仿宋_GB2312"/>
          <w:color w:val="000000" w:themeColor="text1"/>
          <w:sz w:val="32"/>
          <w:szCs w:val="32"/>
          <w:u w:val="none"/>
          <w14:textFill>
            <w14:solidFill>
              <w14:schemeClr w14:val="tx1"/>
            </w14:solidFill>
          </w14:textFill>
        </w:rPr>
        <w:t>均按要求</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办结。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14:textFill>
            <w14:solidFill>
              <w14:schemeClr w14:val="tx1"/>
            </w14:solidFill>
          </w14:textFill>
        </w:rPr>
        <w:t>　　</w:t>
      </w:r>
      <w:r>
        <w:rPr>
          <w:rFonts w:hint="eastAsia" w:ascii="仿宋_GB2312" w:hAnsi="华文中宋" w:eastAsia="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按申请渠道分</w:t>
      </w:r>
    </w:p>
    <w:p>
      <w:pPr>
        <w:widowControl w:val="0"/>
        <w:numPr>
          <w:ilvl w:val="0"/>
          <w:numId w:val="0"/>
        </w:numPr>
        <w:ind w:left="0" w:leftChars="0" w:firstLine="640" w:firstLineChars="200"/>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drawing>
          <wp:inline distT="0" distB="0" distL="114300" distR="114300">
            <wp:extent cx="2950210" cy="1579245"/>
            <wp:effectExtent l="4445" t="4445" r="17145" b="165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val="0"/>
        <w:numPr>
          <w:ilvl w:val="0"/>
          <w:numId w:val="0"/>
        </w:numPr>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2.按申请内容分</w:t>
      </w:r>
    </w:p>
    <w:p>
      <w:pPr>
        <w:widowControl w:val="0"/>
        <w:numPr>
          <w:ilvl w:val="0"/>
          <w:numId w:val="0"/>
        </w:numPr>
        <w:ind w:left="0" w:leftChars="0" w:firstLine="1260" w:firstLineChars="600"/>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drawing>
          <wp:inline distT="0" distB="0" distL="114300" distR="114300">
            <wp:extent cx="2957195" cy="1778635"/>
            <wp:effectExtent l="4445" t="4445" r="10160" b="762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val="0"/>
        <w:numPr>
          <w:ilvl w:val="0"/>
          <w:numId w:val="0"/>
        </w:numPr>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widowControl w:val="0"/>
        <w:numPr>
          <w:ilvl w:val="0"/>
          <w:numId w:val="0"/>
        </w:numPr>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华文中宋" w:eastAsia="仿宋_GB2312"/>
          <w:snapToGrid w:val="0"/>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3.按申请答复数分</w:t>
      </w:r>
    </w:p>
    <w:p>
      <w:pPr>
        <w:widowControl w:val="0"/>
        <w:numPr>
          <w:ilvl w:val="0"/>
          <w:numId w:val="0"/>
        </w:numPr>
        <w:ind w:left="0" w:leftChars="0" w:firstLine="1260" w:firstLineChars="600"/>
        <w:jc w:val="both"/>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drawing>
          <wp:inline distT="0" distB="0" distL="114300" distR="114300">
            <wp:extent cx="2884170" cy="1527175"/>
            <wp:effectExtent l="4445" t="4445" r="6985" b="1143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kinsoku/>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黑体" w:eastAsia="黑体" w:cs="黑体"/>
          <w:snapToGrid w:val="0"/>
          <w:color w:val="000000" w:themeColor="text1"/>
          <w:kern w:val="0"/>
          <w:sz w:val="32"/>
          <w:szCs w:val="32"/>
          <w:lang w:eastAsia="zh-CN"/>
          <w14:textFill>
            <w14:solidFill>
              <w14:schemeClr w14:val="tx1"/>
            </w14:solidFill>
          </w14:textFill>
        </w:rPr>
        <w:t>四、</w:t>
      </w:r>
      <w:r>
        <w:rPr>
          <w:rFonts w:hint="eastAsia" w:ascii="黑体" w:hAnsi="黑体" w:eastAsia="黑体" w:cs="黑体"/>
          <w:snapToGrid w:val="0"/>
          <w:color w:val="000000" w:themeColor="text1"/>
          <w:kern w:val="0"/>
          <w:sz w:val="32"/>
          <w:szCs w:val="32"/>
          <w14:textFill>
            <w14:solidFill>
              <w14:schemeClr w14:val="tx1"/>
            </w14:solidFill>
          </w14:textFill>
        </w:rPr>
        <w:t>政府信息公开收费情况</w:t>
      </w:r>
    </w:p>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eastAsia" w:ascii="仿宋_GB2312" w:hAnsi="华文中宋" w:eastAsia="仿宋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2016年，我委未向申请人收取信息公开费用。</w:t>
      </w:r>
    </w:p>
    <w:p>
      <w:pPr>
        <w:keepNext w:val="0"/>
        <w:keepLines w:val="0"/>
        <w:pageBreakBefore w:val="0"/>
        <w:kinsoku/>
        <w:overflowPunct/>
        <w:topLinePunct w:val="0"/>
        <w:autoSpaceDE/>
        <w:autoSpaceDN/>
        <w:bidi w:val="0"/>
        <w:adjustRightInd/>
        <w:snapToGrid/>
        <w:spacing w:line="560" w:lineRule="exact"/>
        <w:ind w:left="0" w:leftChars="0" w:right="0" w:rightChars="0"/>
        <w:jc w:val="left"/>
        <w:textAlignment w:val="auto"/>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lang w:eastAsia="zh-CN"/>
          <w14:textFill>
            <w14:solidFill>
              <w14:schemeClr w14:val="tx1"/>
            </w14:solidFill>
          </w14:textFill>
        </w:rPr>
        <w:t>五</w:t>
      </w:r>
      <w:r>
        <w:rPr>
          <w:rFonts w:hint="eastAsia" w:ascii="黑体" w:hAnsi="仿宋" w:eastAsia="黑体"/>
          <w:bCs/>
          <w:color w:val="000000" w:themeColor="text1"/>
          <w:sz w:val="32"/>
          <w:szCs w:val="32"/>
          <w14:textFill>
            <w14:solidFill>
              <w14:schemeClr w14:val="tx1"/>
            </w14:solidFill>
          </w14:textFill>
        </w:rPr>
        <w:t>、行政复议和行政诉讼情况</w:t>
      </w:r>
    </w:p>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lang w:val="zh-CN"/>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zh-CN"/>
          <w14:textFill>
            <w14:solidFill>
              <w14:schemeClr w14:val="tx1"/>
            </w14:solidFill>
          </w14:textFill>
        </w:rPr>
        <w:t>年</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sz w:val="32"/>
          <w:szCs w:val="32"/>
        </w:rPr>
        <w:t>针对我委政府信息公开的行政</w:t>
      </w:r>
      <w:r>
        <w:rPr>
          <w:rFonts w:hint="eastAsia" w:ascii="仿宋_GB2312" w:hAnsi="仿宋_GB2312" w:eastAsia="仿宋_GB2312" w:cs="仿宋_GB2312"/>
          <w:sz w:val="32"/>
          <w:szCs w:val="32"/>
          <w:lang w:eastAsia="zh-CN"/>
        </w:rPr>
        <w:t>复议案件</w:t>
      </w:r>
      <w:r>
        <w:rPr>
          <w:rFonts w:hint="eastAsia" w:ascii="仿宋_GB2312" w:hAnsi="仿宋_GB2312" w:eastAsia="仿宋_GB2312" w:cs="仿宋_GB2312"/>
          <w:sz w:val="32"/>
          <w:szCs w:val="32"/>
          <w:lang w:val="en-US" w:eastAsia="zh-CN"/>
        </w:rPr>
        <w:t>0件；行政</w:t>
      </w:r>
      <w:r>
        <w:rPr>
          <w:rFonts w:hint="eastAsia" w:ascii="仿宋_GB2312" w:hAnsi="仿宋_GB2312" w:eastAsia="仿宋_GB2312" w:cs="仿宋_GB2312"/>
          <w:sz w:val="32"/>
          <w:szCs w:val="32"/>
        </w:rPr>
        <w:t>诉讼案件</w:t>
      </w:r>
      <w:r>
        <w:rPr>
          <w:rFonts w:hint="eastAsia" w:ascii="仿宋_GB2312" w:hAnsi="仿宋_GB2312" w:eastAsia="仿宋_GB2312" w:cs="仿宋_GB2312"/>
          <w:sz w:val="32"/>
          <w:szCs w:val="32"/>
          <w:lang w:val="en-US" w:eastAsia="zh-CN"/>
        </w:rPr>
        <w:t>2件，已办结2件，其中</w:t>
      </w:r>
      <w:r>
        <w:rPr>
          <w:rFonts w:hint="eastAsia" w:ascii="仿宋_GB2312" w:hAnsi="宋体" w:eastAsia="仿宋_GB2312" w:cs="宋体"/>
          <w:kern w:val="0"/>
          <w:sz w:val="32"/>
          <w:szCs w:val="32"/>
        </w:rPr>
        <w:t>维持具体行政行为或者驳回原告诉讼请求</w:t>
      </w:r>
      <w:r>
        <w:rPr>
          <w:rFonts w:hint="eastAsia" w:ascii="仿宋_GB2312" w:hAnsi="宋体" w:eastAsia="仿宋_GB2312" w:cs="宋体"/>
          <w:kern w:val="0"/>
          <w:sz w:val="32"/>
          <w:szCs w:val="32"/>
          <w:lang w:val="en-US" w:eastAsia="zh-CN"/>
        </w:rPr>
        <w:t>2件</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黑体" w:eastAsia="黑体" w:cs="黑体"/>
          <w:color w:val="000000" w:themeColor="text1"/>
          <w:sz w:val="32"/>
          <w:szCs w:val="32"/>
          <w:u w:val="none"/>
          <w:lang w:val="en-US" w:eastAsia="zh-CN"/>
          <w14:textFill>
            <w14:solidFill>
              <w14:schemeClr w14:val="tx1"/>
            </w14:solidFill>
          </w14:textFill>
        </w:rPr>
        <w:t>六、</w:t>
      </w:r>
      <w:r>
        <w:rPr>
          <w:rFonts w:hint="eastAsia" w:ascii="黑体" w:hAnsi="黑体" w:eastAsia="黑体" w:cs="黑体"/>
          <w:color w:val="000000" w:themeColor="text1"/>
          <w:sz w:val="32"/>
          <w:szCs w:val="32"/>
          <w:u w:val="none"/>
          <w:lang w:eastAsia="zh-CN"/>
          <w14:textFill>
            <w14:solidFill>
              <w14:schemeClr w14:val="tx1"/>
            </w14:solidFill>
          </w14:textFill>
        </w:rPr>
        <w:t>《北京市</w:t>
      </w:r>
      <w:r>
        <w:rPr>
          <w:rFonts w:hint="eastAsia" w:ascii="黑体" w:hAnsi="黑体" w:eastAsia="黑体" w:cs="黑体"/>
          <w:color w:val="000000" w:themeColor="text1"/>
          <w:sz w:val="32"/>
          <w:szCs w:val="32"/>
          <w:u w:val="none"/>
          <w:lang w:val="en-US" w:eastAsia="zh-CN"/>
          <w14:textFill>
            <w14:solidFill>
              <w14:schemeClr w14:val="tx1"/>
            </w14:solidFill>
          </w14:textFill>
        </w:rPr>
        <w:t>2016年政务公开工作要点》落实情况</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000000" w:themeColor="text1"/>
          <w:sz w:val="32"/>
          <w:szCs w:val="32"/>
          <w:u w:val="none"/>
          <w:lang w:val="zh-CN"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lang w:val="zh-CN"/>
          <w14:textFill>
            <w14:solidFill>
              <w14:schemeClr w14:val="tx1"/>
            </w14:solidFill>
          </w14:textFill>
        </w:rPr>
        <w:t>认真</w:t>
      </w:r>
      <w:r>
        <w:rPr>
          <w:rFonts w:hint="eastAsia" w:ascii="仿宋_GB2312" w:hAnsi="仿宋_GB2312" w:eastAsia="仿宋_GB2312" w:cs="仿宋_GB2312"/>
          <w:color w:val="000000" w:themeColor="text1"/>
          <w:sz w:val="32"/>
          <w:szCs w:val="32"/>
          <w:u w:val="none"/>
          <w:lang w:val="zh-CN" w:eastAsia="zh-CN"/>
          <w14:textFill>
            <w14:solidFill>
              <w14:schemeClr w14:val="tx1"/>
            </w14:solidFill>
          </w14:textFill>
        </w:rPr>
        <w:t>按照《北京市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2016年政务公开工作要点》和区政务公开工作要点，紧紧围绕民生保障和公共服务等社会关切的工作，强化依法行政、创新意识和服务水平，制定重点领域政务公开两级清单，加大安居工程和重大建设项目等信息公开力度。2016年在区政府网站、区住建委网站公开</w:t>
      </w:r>
      <w:r>
        <w:rPr>
          <w:rFonts w:hint="eastAsia" w:ascii="仿宋_GB2312" w:hAnsi="仿宋_GB2312" w:eastAsia="仿宋_GB2312" w:cs="仿宋_GB2312"/>
          <w:sz w:val="32"/>
          <w:szCs w:val="32"/>
          <w:lang w:val="en-US" w:eastAsia="zh-CN"/>
        </w:rPr>
        <w:t>重大规划和建设项目信息197条（招投标信息49条，项目建设进展情况信息92条，监督执法检查信息56条），保障性住房、棚户区改造信息54条，城市治理（地下空间检查和物业管理）信息130条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left="0" w:leftChars="0" w:right="0" w:rightChars="0"/>
        <w:jc w:val="left"/>
        <w:textAlignment w:val="auto"/>
        <w:rPr>
          <w:rFonts w:hint="eastAsia"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lang w:eastAsia="zh-CN"/>
          <w14:textFill>
            <w14:solidFill>
              <w14:schemeClr w14:val="tx1"/>
            </w14:solidFill>
          </w14:textFill>
        </w:rPr>
        <w:t>七</w:t>
      </w:r>
      <w:r>
        <w:rPr>
          <w:rFonts w:hint="eastAsia" w:ascii="黑体" w:hAnsi="仿宋" w:eastAsia="黑体"/>
          <w:bCs/>
          <w:color w:val="000000" w:themeColor="text1"/>
          <w:sz w:val="32"/>
          <w:szCs w:val="32"/>
          <w14:textFill>
            <w14:solidFill>
              <w14:schemeClr w14:val="tx1"/>
            </w14:solidFill>
          </w14:textFill>
        </w:rPr>
        <w:t>、存在不足和改进措施</w:t>
      </w:r>
    </w:p>
    <w:p>
      <w:pPr>
        <w:keepNext w:val="0"/>
        <w:keepLines w:val="0"/>
        <w:pageBreakBefore w:val="0"/>
        <w:kinsoku/>
        <w:overflowPunct/>
        <w:topLinePunct w:val="0"/>
        <w:autoSpaceDE/>
        <w:autoSpaceDN/>
        <w:bidi w:val="0"/>
        <w:adjustRightInd/>
        <w:snapToGrid/>
        <w:spacing w:line="560" w:lineRule="exact"/>
        <w:ind w:left="0" w:leftChars="0" w:right="0" w:rightChars="0"/>
        <w:jc w:val="left"/>
        <w:textAlignment w:val="auto"/>
        <w:rPr>
          <w:rFonts w:ascii="仿宋_GB2312" w:hAnsi="Arial" w:eastAsia="仿宋_GB2312" w:cs="Arial"/>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kern w:val="0"/>
          <w:sz w:val="32"/>
          <w:szCs w:val="32"/>
          <w:lang w:val="en-US" w:eastAsia="zh-CN" w:bidi="ar"/>
        </w:rPr>
        <w:t>政府信息公开制度实施以来，我委信息公开工作虽然取得了一定成绩，但仍存在一些不足：“公开为常态，不公开为例外”的意识仍需继续增强，主动公开内容、形式还需更加丰富，依申请公开答复水平有待进一步提高。</w:t>
      </w: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Arial" w:eastAsia="仿宋_GB2312" w:cs="Arial"/>
          <w:color w:val="000000" w:themeColor="text1"/>
          <w:sz w:val="32"/>
          <w:szCs w:val="32"/>
          <w14:textFill>
            <w14:solidFill>
              <w14:schemeClr w14:val="tx1"/>
            </w14:solidFill>
          </w14:textFill>
        </w:rPr>
        <w:t>201</w:t>
      </w:r>
      <w:r>
        <w:rPr>
          <w:rFonts w:hint="eastAsia" w:ascii="仿宋_GB2312" w:hAnsi="Arial" w:eastAsia="仿宋_GB2312" w:cs="Arial"/>
          <w:color w:val="000000" w:themeColor="text1"/>
          <w:sz w:val="32"/>
          <w:szCs w:val="32"/>
          <w:lang w:val="en-US" w:eastAsia="zh-CN"/>
          <w14:textFill>
            <w14:solidFill>
              <w14:schemeClr w14:val="tx1"/>
            </w14:solidFill>
          </w14:textFill>
        </w:rPr>
        <w:t>7</w:t>
      </w:r>
      <w:r>
        <w:rPr>
          <w:rFonts w:hint="eastAsia" w:ascii="仿宋_GB2312" w:hAnsi="Arial" w:eastAsia="仿宋_GB2312" w:cs="Arial"/>
          <w:color w:val="000000" w:themeColor="text1"/>
          <w:sz w:val="32"/>
          <w:szCs w:val="32"/>
          <w14:textFill>
            <w14:solidFill>
              <w14:schemeClr w14:val="tx1"/>
            </w14:solidFill>
          </w14:textFill>
        </w:rPr>
        <w:t>年</w:t>
      </w:r>
      <w:r>
        <w:rPr>
          <w:rFonts w:ascii="仿宋_GB2312" w:hAnsi="仿宋" w:eastAsia="仿宋_GB2312"/>
          <w:color w:val="000000" w:themeColor="text1"/>
          <w:kern w:val="0"/>
          <w:sz w:val="32"/>
          <w:szCs w:val="32"/>
          <w14:textFill>
            <w14:solidFill>
              <w14:schemeClr w14:val="tx1"/>
            </w14:solidFill>
          </w14:textFill>
        </w:rPr>
        <w:t>，我委将针对以上问题，重点做好以下工作：一是</w:t>
      </w:r>
      <w:r>
        <w:rPr>
          <w:rFonts w:hint="eastAsia" w:ascii="仿宋_GB2312" w:hAnsi="仿宋_GB2312" w:eastAsia="仿宋_GB2312" w:cs="仿宋_GB2312"/>
          <w:kern w:val="0"/>
          <w:sz w:val="32"/>
          <w:szCs w:val="32"/>
          <w:lang w:val="en-US" w:eastAsia="zh-CN" w:bidi="ar"/>
        </w:rPr>
        <w:t>加强业务培训，不断提高工作人员政府信息公开意识和业务水平；二是继续推进重点领域政府信息公开，不断扩大公开范围，进一步满足公众多样化、个性化的信息需求；三是继续加强对依申请公开难点问题和典型案例的研究，分析问题、积累经验，为广大市民提供更好的信息服务。</w:t>
      </w:r>
    </w:p>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eastAsia" w:ascii="仿宋_GB2312" w:hAnsi="ˎ̥"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ˎ̥" w:eastAsia="仿宋_GB2312" w:cs="宋体"/>
          <w:color w:val="000000" w:themeColor="text1"/>
          <w:kern w:val="0"/>
          <w:sz w:val="32"/>
          <w:szCs w:val="32"/>
          <w14:textFill>
            <w14:solidFill>
              <w14:schemeClr w14:val="tx1"/>
            </w14:solidFill>
          </w14:textFill>
        </w:rPr>
        <w:t>如对本报告有疑问，请与我</w:t>
      </w:r>
      <w:r>
        <w:rPr>
          <w:rFonts w:hint="eastAsia" w:ascii="仿宋_GB2312" w:hAnsi="ˎ̥" w:eastAsia="仿宋_GB2312" w:cs="宋体"/>
          <w:color w:val="000000" w:themeColor="text1"/>
          <w:kern w:val="0"/>
          <w:sz w:val="32"/>
          <w:szCs w:val="32"/>
          <w:lang w:eastAsia="zh-CN"/>
          <w14:textFill>
            <w14:solidFill>
              <w14:schemeClr w14:val="tx1"/>
            </w14:solidFill>
          </w14:textFill>
        </w:rPr>
        <w:t>委</w:t>
      </w:r>
      <w:r>
        <w:rPr>
          <w:rFonts w:hint="eastAsia" w:ascii="仿宋_GB2312" w:hAnsi="ˎ̥" w:eastAsia="仿宋_GB2312" w:cs="宋体"/>
          <w:color w:val="000000" w:themeColor="text1"/>
          <w:kern w:val="0"/>
          <w:sz w:val="32"/>
          <w:szCs w:val="32"/>
          <w14:textFill>
            <w14:solidFill>
              <w14:schemeClr w14:val="tx1"/>
            </w14:solidFill>
          </w14:textFill>
        </w:rPr>
        <w:t>联系。电话：6904</w:t>
      </w:r>
      <w:r>
        <w:rPr>
          <w:rFonts w:hint="eastAsia" w:ascii="仿宋_GB2312" w:hAnsi="ˎ̥" w:eastAsia="仿宋_GB2312" w:cs="宋体"/>
          <w:color w:val="000000" w:themeColor="text1"/>
          <w:kern w:val="0"/>
          <w:sz w:val="32"/>
          <w:szCs w:val="32"/>
          <w:lang w:val="en-US" w:eastAsia="zh-CN"/>
          <w14:textFill>
            <w14:solidFill>
              <w14:schemeClr w14:val="tx1"/>
            </w14:solidFill>
          </w14:textFill>
        </w:rPr>
        <w:t>1658。</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北京市密云区住房和城乡建设委员会</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201</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年3月</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tbl>
      <w:tblPr>
        <w:tblStyle w:val="8"/>
        <w:tblW w:w="9555" w:type="dxa"/>
        <w:jc w:val="center"/>
        <w:tblInd w:w="93" w:type="dxa"/>
        <w:tblLayout w:type="fixed"/>
        <w:tblCellMar>
          <w:top w:w="0" w:type="dxa"/>
          <w:left w:w="108" w:type="dxa"/>
          <w:bottom w:w="0" w:type="dxa"/>
          <w:right w:w="108" w:type="dxa"/>
        </w:tblCellMar>
      </w:tblPr>
      <w:tblGrid>
        <w:gridCol w:w="7470"/>
        <w:gridCol w:w="285"/>
        <w:gridCol w:w="475"/>
        <w:gridCol w:w="245"/>
        <w:gridCol w:w="1080"/>
      </w:tblGrid>
      <w:tr>
        <w:tblPrEx>
          <w:tblLayout w:type="fixed"/>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2016</w:t>
            </w:r>
            <w:r>
              <w:rPr>
                <w:rFonts w:hint="eastAsia" w:ascii="楷体_GB2312" w:hAnsi="宋体" w:eastAsia="楷体_GB2312" w:cs="宋体"/>
                <w:kern w:val="0"/>
                <w:sz w:val="32"/>
                <w:szCs w:val="32"/>
              </w:rPr>
              <w:t xml:space="preserve"> 年度）</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w:t>
            </w:r>
            <w:r>
              <w:rPr>
                <w:rFonts w:hint="eastAsia" w:ascii="仿宋_GB2312" w:hAnsi="宋体" w:eastAsia="仿宋_GB2312" w:cs="宋体"/>
                <w:kern w:val="0"/>
                <w:sz w:val="24"/>
                <w:lang w:eastAsia="zh-CN"/>
              </w:rPr>
              <w:t>北京市密云区住房和城乡建设委员会</w:t>
            </w: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693</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205</w:t>
            </w:r>
          </w:p>
        </w:tc>
      </w:tr>
      <w:tr>
        <w:tblPrEx>
          <w:tblLayout w:type="fixed"/>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54</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60</w:t>
            </w:r>
          </w:p>
        </w:tc>
      </w:tr>
      <w:tr>
        <w:tblPrEx>
          <w:tblLayout w:type="fixed"/>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12</w:t>
            </w:r>
          </w:p>
        </w:tc>
      </w:tr>
      <w:tr>
        <w:tblPrEx>
          <w:tblLayout w:type="fixed"/>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76</w:t>
            </w:r>
          </w:p>
        </w:tc>
      </w:tr>
      <w:tr>
        <w:tblPrEx>
          <w:tblLayout w:type="fixed"/>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80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9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693</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color w:val="000000" w:themeColor="text1"/>
                <w:kern w:val="0"/>
                <w:sz w:val="24"/>
                <w:lang w:val="en-US" w:eastAsia="zh-CN"/>
                <w14:textFill>
                  <w14:solidFill>
                    <w14:schemeClr w14:val="tx1"/>
                  </w14:solidFill>
                </w14:textFill>
              </w:rPr>
              <w:t>647</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46</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46</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48</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48</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48</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48</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9</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33</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26</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w:t>
            </w:r>
            <w:r>
              <w:rPr>
                <w:rFonts w:hint="eastAsia" w:ascii="仿宋_GB2312" w:hAnsi="宋体" w:eastAsia="仿宋_GB2312" w:cs="宋体"/>
                <w:color w:val="000000" w:themeColor="text1"/>
                <w:kern w:val="0"/>
                <w:sz w:val="24"/>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w:t>
            </w:r>
            <w:r>
              <w:rPr>
                <w:rFonts w:hint="eastAsia" w:ascii="仿宋_GB2312" w:hAnsi="宋体" w:eastAsia="仿宋_GB2312" w:cs="宋体"/>
                <w:color w:val="000000" w:themeColor="text1"/>
                <w:kern w:val="0"/>
                <w:sz w:val="24"/>
                <w:lang w:val="en-US" w:eastAsia="zh-CN"/>
                <w14:textFill>
                  <w14:solidFill>
                    <w14:schemeClr w14:val="tx1"/>
                  </w14:solidFill>
                </w14:textFill>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w:t>
            </w:r>
            <w:r>
              <w:rPr>
                <w:rFonts w:hint="eastAsia" w:ascii="仿宋_GB2312" w:hAnsi="宋体" w:eastAsia="仿宋_GB2312" w:cs="宋体"/>
                <w:color w:val="000000" w:themeColor="text1"/>
                <w:kern w:val="0"/>
                <w:sz w:val="24"/>
                <w:lang w:val="en-US" w:eastAsia="zh-CN"/>
                <w14:textFill>
                  <w14:solidFill>
                    <w14:schemeClr w14:val="tx1"/>
                  </w14:solidFill>
                </w14:textFill>
              </w:rPr>
              <w:t>65</w:t>
            </w: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vAlign w:val="center"/>
          </w:tcPr>
          <w:p>
            <w:pPr>
              <w:widowControl/>
              <w:jc w:val="left"/>
              <w:rPr>
                <w:rFonts w:ascii="仿宋_GB2312" w:hAnsi="宋体" w:eastAsia="仿宋_GB2312" w:cs="宋体"/>
                <w:kern w:val="0"/>
                <w:sz w:val="24"/>
              </w:rPr>
            </w:pPr>
          </w:p>
        </w:tc>
      </w:tr>
    </w:tbl>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olor w:val="000000" w:themeColor="text1"/>
          <w:sz w:val="32"/>
          <w:szCs w:val="32"/>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D8"/>
    <w:rsid w:val="00000870"/>
    <w:rsid w:val="00000C87"/>
    <w:rsid w:val="000121CE"/>
    <w:rsid w:val="00014921"/>
    <w:rsid w:val="00023D90"/>
    <w:rsid w:val="00030743"/>
    <w:rsid w:val="00034357"/>
    <w:rsid w:val="00063783"/>
    <w:rsid w:val="00070632"/>
    <w:rsid w:val="00093A39"/>
    <w:rsid w:val="000B1495"/>
    <w:rsid w:val="000F6C4B"/>
    <w:rsid w:val="00117719"/>
    <w:rsid w:val="00144003"/>
    <w:rsid w:val="0014680B"/>
    <w:rsid w:val="0015640B"/>
    <w:rsid w:val="00160794"/>
    <w:rsid w:val="00162073"/>
    <w:rsid w:val="001921E8"/>
    <w:rsid w:val="001D192F"/>
    <w:rsid w:val="002C5E3A"/>
    <w:rsid w:val="002D273E"/>
    <w:rsid w:val="002D61D6"/>
    <w:rsid w:val="00305DA6"/>
    <w:rsid w:val="00353E61"/>
    <w:rsid w:val="003C1F05"/>
    <w:rsid w:val="003D5E22"/>
    <w:rsid w:val="0040607B"/>
    <w:rsid w:val="004452F7"/>
    <w:rsid w:val="00455F6C"/>
    <w:rsid w:val="00467CAB"/>
    <w:rsid w:val="00477A69"/>
    <w:rsid w:val="00477D77"/>
    <w:rsid w:val="004C0913"/>
    <w:rsid w:val="004D27F7"/>
    <w:rsid w:val="004E7662"/>
    <w:rsid w:val="004F7834"/>
    <w:rsid w:val="00503722"/>
    <w:rsid w:val="00537286"/>
    <w:rsid w:val="00543F30"/>
    <w:rsid w:val="005B4840"/>
    <w:rsid w:val="005D60C1"/>
    <w:rsid w:val="0063283D"/>
    <w:rsid w:val="00661198"/>
    <w:rsid w:val="006668B4"/>
    <w:rsid w:val="0067354A"/>
    <w:rsid w:val="006831E0"/>
    <w:rsid w:val="006C7C65"/>
    <w:rsid w:val="00703051"/>
    <w:rsid w:val="00720361"/>
    <w:rsid w:val="007442A2"/>
    <w:rsid w:val="007572EF"/>
    <w:rsid w:val="00774657"/>
    <w:rsid w:val="007C4967"/>
    <w:rsid w:val="007D5B42"/>
    <w:rsid w:val="007E4BA9"/>
    <w:rsid w:val="008447EA"/>
    <w:rsid w:val="00896685"/>
    <w:rsid w:val="008A11AC"/>
    <w:rsid w:val="008E4F95"/>
    <w:rsid w:val="008E5E75"/>
    <w:rsid w:val="00914537"/>
    <w:rsid w:val="009870F6"/>
    <w:rsid w:val="00A511E4"/>
    <w:rsid w:val="00A516E2"/>
    <w:rsid w:val="00A542CF"/>
    <w:rsid w:val="00AA6907"/>
    <w:rsid w:val="00AB25C3"/>
    <w:rsid w:val="00AB60F4"/>
    <w:rsid w:val="00B112FA"/>
    <w:rsid w:val="00B15043"/>
    <w:rsid w:val="00B26975"/>
    <w:rsid w:val="00B57D8E"/>
    <w:rsid w:val="00B92DB1"/>
    <w:rsid w:val="00BC0516"/>
    <w:rsid w:val="00BC3DA5"/>
    <w:rsid w:val="00C1507C"/>
    <w:rsid w:val="00C325CE"/>
    <w:rsid w:val="00C54D74"/>
    <w:rsid w:val="00C561CF"/>
    <w:rsid w:val="00C66761"/>
    <w:rsid w:val="00C8675C"/>
    <w:rsid w:val="00CD2FDE"/>
    <w:rsid w:val="00CE6485"/>
    <w:rsid w:val="00CF0BE5"/>
    <w:rsid w:val="00D356CE"/>
    <w:rsid w:val="00D85767"/>
    <w:rsid w:val="00EC2D0F"/>
    <w:rsid w:val="00F06D34"/>
    <w:rsid w:val="00F67A0E"/>
    <w:rsid w:val="00F70171"/>
    <w:rsid w:val="00F77209"/>
    <w:rsid w:val="00FE72D8"/>
    <w:rsid w:val="01551C3E"/>
    <w:rsid w:val="016F46F4"/>
    <w:rsid w:val="01FA01CD"/>
    <w:rsid w:val="027877E8"/>
    <w:rsid w:val="02867DB1"/>
    <w:rsid w:val="030F3785"/>
    <w:rsid w:val="037C2CAF"/>
    <w:rsid w:val="03F13255"/>
    <w:rsid w:val="04167C1A"/>
    <w:rsid w:val="04470176"/>
    <w:rsid w:val="04AB1CB5"/>
    <w:rsid w:val="04FC07BA"/>
    <w:rsid w:val="052B5A86"/>
    <w:rsid w:val="06102881"/>
    <w:rsid w:val="06ED4F1B"/>
    <w:rsid w:val="073C456C"/>
    <w:rsid w:val="076F023F"/>
    <w:rsid w:val="077324C8"/>
    <w:rsid w:val="0837350B"/>
    <w:rsid w:val="08C068E7"/>
    <w:rsid w:val="0919607C"/>
    <w:rsid w:val="09697100"/>
    <w:rsid w:val="098C4D36"/>
    <w:rsid w:val="09B713FD"/>
    <w:rsid w:val="09EE7359"/>
    <w:rsid w:val="0A596A08"/>
    <w:rsid w:val="0AA4348E"/>
    <w:rsid w:val="0AA74589"/>
    <w:rsid w:val="0AE84FF2"/>
    <w:rsid w:val="0B5A3CD1"/>
    <w:rsid w:val="0B5F3D37"/>
    <w:rsid w:val="0BC76BDF"/>
    <w:rsid w:val="0CBC03F1"/>
    <w:rsid w:val="0D3600BA"/>
    <w:rsid w:val="0D834936"/>
    <w:rsid w:val="0DA55D65"/>
    <w:rsid w:val="0DAB7185"/>
    <w:rsid w:val="0DE15FD5"/>
    <w:rsid w:val="0E0D231C"/>
    <w:rsid w:val="0E287CB8"/>
    <w:rsid w:val="0E842563"/>
    <w:rsid w:val="0ED949DD"/>
    <w:rsid w:val="0F1B4A58"/>
    <w:rsid w:val="0FED152D"/>
    <w:rsid w:val="10273C90"/>
    <w:rsid w:val="10BB6702"/>
    <w:rsid w:val="111D092A"/>
    <w:rsid w:val="11C23A31"/>
    <w:rsid w:val="1207364D"/>
    <w:rsid w:val="12413F80"/>
    <w:rsid w:val="12463C8B"/>
    <w:rsid w:val="1253551F"/>
    <w:rsid w:val="1359284E"/>
    <w:rsid w:val="13C85080"/>
    <w:rsid w:val="14421E7E"/>
    <w:rsid w:val="14E013D0"/>
    <w:rsid w:val="15CF79D4"/>
    <w:rsid w:val="16240763"/>
    <w:rsid w:val="163A2906"/>
    <w:rsid w:val="16504AAA"/>
    <w:rsid w:val="167355AB"/>
    <w:rsid w:val="171B301F"/>
    <w:rsid w:val="18542862"/>
    <w:rsid w:val="1A33786A"/>
    <w:rsid w:val="1AAE5354"/>
    <w:rsid w:val="1C8F7A67"/>
    <w:rsid w:val="1DFA5E87"/>
    <w:rsid w:val="1E8B5972"/>
    <w:rsid w:val="1F356A41"/>
    <w:rsid w:val="20955704"/>
    <w:rsid w:val="20DD7F85"/>
    <w:rsid w:val="21900E1F"/>
    <w:rsid w:val="21931EFC"/>
    <w:rsid w:val="229C0058"/>
    <w:rsid w:val="22C8439F"/>
    <w:rsid w:val="22E771D2"/>
    <w:rsid w:val="238F08E5"/>
    <w:rsid w:val="249D4FFA"/>
    <w:rsid w:val="270E3D1E"/>
    <w:rsid w:val="27B55FF3"/>
    <w:rsid w:val="28295770"/>
    <w:rsid w:val="283B4790"/>
    <w:rsid w:val="28844B85"/>
    <w:rsid w:val="28E64C29"/>
    <w:rsid w:val="2B136138"/>
    <w:rsid w:val="2B1D2EE9"/>
    <w:rsid w:val="2B7F106A"/>
    <w:rsid w:val="2C832E96"/>
    <w:rsid w:val="2CDA38A5"/>
    <w:rsid w:val="2DE675DF"/>
    <w:rsid w:val="2DEB6D9D"/>
    <w:rsid w:val="2E5A2A18"/>
    <w:rsid w:val="2EBE7D32"/>
    <w:rsid w:val="2F04675B"/>
    <w:rsid w:val="2F0476B2"/>
    <w:rsid w:val="2F372C9A"/>
    <w:rsid w:val="2F850F05"/>
    <w:rsid w:val="304447BB"/>
    <w:rsid w:val="310E2A4D"/>
    <w:rsid w:val="31383D71"/>
    <w:rsid w:val="32013EB0"/>
    <w:rsid w:val="32EA3795"/>
    <w:rsid w:val="332F0A06"/>
    <w:rsid w:val="343A273D"/>
    <w:rsid w:val="344E0E5E"/>
    <w:rsid w:val="353B3065"/>
    <w:rsid w:val="35CB071F"/>
    <w:rsid w:val="36235561"/>
    <w:rsid w:val="362C25ED"/>
    <w:rsid w:val="3682337C"/>
    <w:rsid w:val="36F47E38"/>
    <w:rsid w:val="37461DE2"/>
    <w:rsid w:val="374F144B"/>
    <w:rsid w:val="385151E2"/>
    <w:rsid w:val="385C3F07"/>
    <w:rsid w:val="38692E49"/>
    <w:rsid w:val="38762532"/>
    <w:rsid w:val="38C4308E"/>
    <w:rsid w:val="38DE5455"/>
    <w:rsid w:val="39B45381"/>
    <w:rsid w:val="3B545DE3"/>
    <w:rsid w:val="3B744119"/>
    <w:rsid w:val="3D153845"/>
    <w:rsid w:val="3DD234FB"/>
    <w:rsid w:val="3E47343D"/>
    <w:rsid w:val="3E836EC6"/>
    <w:rsid w:val="3F92745C"/>
    <w:rsid w:val="3FB83E19"/>
    <w:rsid w:val="3FEE463E"/>
    <w:rsid w:val="405D45A6"/>
    <w:rsid w:val="405D6155"/>
    <w:rsid w:val="40FE08AC"/>
    <w:rsid w:val="410427B6"/>
    <w:rsid w:val="419868AD"/>
    <w:rsid w:val="41AB7A9B"/>
    <w:rsid w:val="42B63481"/>
    <w:rsid w:val="434268E8"/>
    <w:rsid w:val="434C3974"/>
    <w:rsid w:val="43557B07"/>
    <w:rsid w:val="43B70AA5"/>
    <w:rsid w:val="43BB3A89"/>
    <w:rsid w:val="44DD0888"/>
    <w:rsid w:val="44F404AD"/>
    <w:rsid w:val="46144188"/>
    <w:rsid w:val="46765126"/>
    <w:rsid w:val="4B0F42B9"/>
    <w:rsid w:val="4B383175"/>
    <w:rsid w:val="4CE13531"/>
    <w:rsid w:val="4E1D54B7"/>
    <w:rsid w:val="4E2D7CD0"/>
    <w:rsid w:val="4E46667C"/>
    <w:rsid w:val="4EC7464B"/>
    <w:rsid w:val="4F573F3A"/>
    <w:rsid w:val="4F94051C"/>
    <w:rsid w:val="50151D6F"/>
    <w:rsid w:val="507D7C9D"/>
    <w:rsid w:val="50C10893"/>
    <w:rsid w:val="51A65AE9"/>
    <w:rsid w:val="51F85787"/>
    <w:rsid w:val="520F53AD"/>
    <w:rsid w:val="52301165"/>
    <w:rsid w:val="528C01F9"/>
    <w:rsid w:val="52C6295D"/>
    <w:rsid w:val="52CC0FE3"/>
    <w:rsid w:val="52EB3A96"/>
    <w:rsid w:val="52F160CD"/>
    <w:rsid w:val="534A5134"/>
    <w:rsid w:val="53562E99"/>
    <w:rsid w:val="539D38BA"/>
    <w:rsid w:val="53A022C0"/>
    <w:rsid w:val="53D64D18"/>
    <w:rsid w:val="53EC6EBC"/>
    <w:rsid w:val="54853078"/>
    <w:rsid w:val="554738F5"/>
    <w:rsid w:val="559376A5"/>
    <w:rsid w:val="56D42182"/>
    <w:rsid w:val="56E15C15"/>
    <w:rsid w:val="581C2119"/>
    <w:rsid w:val="5868001A"/>
    <w:rsid w:val="589C39AB"/>
    <w:rsid w:val="59094320"/>
    <w:rsid w:val="5A7C4202"/>
    <w:rsid w:val="5AE16125"/>
    <w:rsid w:val="5B052E61"/>
    <w:rsid w:val="5B157E9F"/>
    <w:rsid w:val="5B260E18"/>
    <w:rsid w:val="5B2D4026"/>
    <w:rsid w:val="5B3E42C0"/>
    <w:rsid w:val="5BB55204"/>
    <w:rsid w:val="5C8A2FA3"/>
    <w:rsid w:val="5D194ACB"/>
    <w:rsid w:val="5DF71DE4"/>
    <w:rsid w:val="5E0A56D8"/>
    <w:rsid w:val="5E5879D5"/>
    <w:rsid w:val="5E7D4E75"/>
    <w:rsid w:val="60B552B6"/>
    <w:rsid w:val="61304C00"/>
    <w:rsid w:val="61D930FB"/>
    <w:rsid w:val="627A171F"/>
    <w:rsid w:val="62C01E93"/>
    <w:rsid w:val="631B5A25"/>
    <w:rsid w:val="63340B4D"/>
    <w:rsid w:val="638140D4"/>
    <w:rsid w:val="638E7F62"/>
    <w:rsid w:val="639A75F8"/>
    <w:rsid w:val="63AB7D5C"/>
    <w:rsid w:val="63EE7082"/>
    <w:rsid w:val="641A33C9"/>
    <w:rsid w:val="64534828"/>
    <w:rsid w:val="64557D2B"/>
    <w:rsid w:val="64CC0C6F"/>
    <w:rsid w:val="65472B37"/>
    <w:rsid w:val="6622379F"/>
    <w:rsid w:val="66B17B8A"/>
    <w:rsid w:val="66F95CC3"/>
    <w:rsid w:val="682165CE"/>
    <w:rsid w:val="68472716"/>
    <w:rsid w:val="689E1934"/>
    <w:rsid w:val="68BC0EE4"/>
    <w:rsid w:val="69F17C5C"/>
    <w:rsid w:val="6AD824D8"/>
    <w:rsid w:val="6AEC1179"/>
    <w:rsid w:val="6AF8667C"/>
    <w:rsid w:val="6B086DF3"/>
    <w:rsid w:val="6B732643"/>
    <w:rsid w:val="6BE2252E"/>
    <w:rsid w:val="6C706D77"/>
    <w:rsid w:val="6C860F1A"/>
    <w:rsid w:val="6D0F708D"/>
    <w:rsid w:val="6D9C2C61"/>
    <w:rsid w:val="6EB56FB1"/>
    <w:rsid w:val="6EC129EA"/>
    <w:rsid w:val="6EDA00EA"/>
    <w:rsid w:val="6F4C505F"/>
    <w:rsid w:val="6F5D1709"/>
    <w:rsid w:val="6F9775A3"/>
    <w:rsid w:val="6FAB6244"/>
    <w:rsid w:val="704A4E81"/>
    <w:rsid w:val="70E62748"/>
    <w:rsid w:val="71B7759E"/>
    <w:rsid w:val="720D4729"/>
    <w:rsid w:val="72442685"/>
    <w:rsid w:val="72850EF0"/>
    <w:rsid w:val="72AA36AE"/>
    <w:rsid w:val="72AF1D34"/>
    <w:rsid w:val="73F723F9"/>
    <w:rsid w:val="742E12AB"/>
    <w:rsid w:val="7431442E"/>
    <w:rsid w:val="74676175"/>
    <w:rsid w:val="756A3232"/>
    <w:rsid w:val="758075D4"/>
    <w:rsid w:val="765A4D38"/>
    <w:rsid w:val="77C13386"/>
    <w:rsid w:val="77DE2936"/>
    <w:rsid w:val="78061542"/>
    <w:rsid w:val="793357E6"/>
    <w:rsid w:val="797B145D"/>
    <w:rsid w:val="7A1B06AA"/>
    <w:rsid w:val="7B4C1FCA"/>
    <w:rsid w:val="7B8008AE"/>
    <w:rsid w:val="7B8627B7"/>
    <w:rsid w:val="7C851BB3"/>
    <w:rsid w:val="7CB10C20"/>
    <w:rsid w:val="7D757A06"/>
    <w:rsid w:val="7DAF30C1"/>
    <w:rsid w:val="7DF971B0"/>
    <w:rsid w:val="7E300197"/>
    <w:rsid w:val="7E5D1F60"/>
    <w:rsid w:val="7E905C32"/>
    <w:rsid w:val="7F851EEB"/>
    <w:rsid w:val="7FFA5204"/>
    <w:rsid w:val="7FFE16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FollowedHyperlink"/>
    <w:basedOn w:val="5"/>
    <w:unhideWhenUsed/>
    <w:qFormat/>
    <w:uiPriority w:val="99"/>
    <w:rPr>
      <w:color w:val="000000"/>
      <w:u w:val="none"/>
    </w:rPr>
  </w:style>
  <w:style w:type="character" w:styleId="7">
    <w:name w:val="Hyperlink"/>
    <w:basedOn w:val="5"/>
    <w:unhideWhenUsed/>
    <w:qFormat/>
    <w:uiPriority w:val="99"/>
    <w:rPr>
      <w:color w:val="000000"/>
      <w:u w:val="non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 w:type="paragraph" w:customStyle="1" w:styleId="12">
    <w:name w:val="Char Char Char1 Char"/>
    <w:basedOn w:val="2"/>
    <w:next w:val="4"/>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3">
    <w:name w:val="文档结构图 Char"/>
    <w:basedOn w:val="5"/>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chart" Target="charts/chart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image" Target="../media/image8.png"/><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65151800867"/>
          <c:y val="0.0865622423742786"/>
          <c:w val="0.856948896850839"/>
          <c:h val="0.515416323165705"/>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[工作簿1]Sheet1!$B$2:$G$2</c:f>
              <c:strCache>
                <c:ptCount val="6"/>
                <c:pt idx="0">
                  <c:v>物业管理</c:v>
                </c:pt>
                <c:pt idx="1">
                  <c:v>征收拆迁</c:v>
                </c:pt>
                <c:pt idx="2">
                  <c:v>住房保障</c:v>
                </c:pt>
                <c:pt idx="3">
                  <c:v>招投标</c:v>
                </c:pt>
                <c:pt idx="4">
                  <c:v>工程建设</c:v>
                </c:pt>
                <c:pt idx="5">
                  <c:v>其他</c:v>
                </c:pt>
              </c:strCache>
            </c:strRef>
          </c:cat>
          <c:val>
            <c:numRef>
              <c:f>[工作簿1]Sheet1!$B$3:$G$3</c:f>
              <c:numCache>
                <c:formatCode>General</c:formatCode>
                <c:ptCount val="6"/>
                <c:pt idx="0">
                  <c:v>156</c:v>
                </c:pt>
                <c:pt idx="1">
                  <c:v>76</c:v>
                </c:pt>
                <c:pt idx="2">
                  <c:v>54</c:v>
                </c:pt>
                <c:pt idx="3">
                  <c:v>60</c:v>
                </c:pt>
                <c:pt idx="4">
                  <c:v>63</c:v>
                </c:pt>
                <c:pt idx="5">
                  <c:v>284</c:v>
                </c:pt>
              </c:numCache>
            </c:numRef>
          </c:val>
        </c:ser>
        <c:dLbls>
          <c:showLegendKey val="0"/>
          <c:showVal val="1"/>
          <c:showCatName val="0"/>
          <c:showSerName val="0"/>
          <c:showPercent val="0"/>
          <c:showBubbleSize val="0"/>
        </c:dLbls>
        <c:gapWidth val="164"/>
        <c:overlap val="-22"/>
        <c:axId val="555999912"/>
        <c:axId val="206129265"/>
      </c:barChart>
      <c:catAx>
        <c:axId val="555999912"/>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129265"/>
        <c:crosses val="autoZero"/>
        <c:auto val="1"/>
        <c:lblAlgn val="ctr"/>
        <c:lblOffset val="100"/>
        <c:noMultiLvlLbl val="0"/>
      </c:catAx>
      <c:valAx>
        <c:axId val="20612926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999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explosion val="2"/>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explosion val="4"/>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[工作簿1]Sheet1!$B$2:$D$2</c:f>
              <c:strCache>
                <c:ptCount val="3"/>
                <c:pt idx="0">
                  <c:v>当面申请数</c:v>
                </c:pt>
                <c:pt idx="1">
                  <c:v>网络申请数</c:v>
                </c:pt>
                <c:pt idx="2">
                  <c:v>信函申请数</c:v>
                </c:pt>
              </c:strCache>
            </c:strRef>
          </c:cat>
          <c:val>
            <c:numRef>
              <c:f>[工作簿1]Sheet1!$B$3:$D$3</c:f>
              <c:numCache>
                <c:formatCode>General</c:formatCode>
                <c:ptCount val="3"/>
                <c:pt idx="0">
                  <c:v>15</c:v>
                </c:pt>
                <c:pt idx="1">
                  <c:v>1</c:v>
                </c:pt>
                <c:pt idx="2">
                  <c:v>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3"/>
              <c:layout>
                <c:manualLayout>
                  <c:x val="0.0788029564811487"/>
                  <c:y val="0.0846943023683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35205848516814"/>
                  <c:y val="0.15445849281676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[工作簿1]Sheet1!$A$1:$E$1</c:f>
              <c:strCache>
                <c:ptCount val="5"/>
                <c:pt idx="0">
                  <c:v>征收拆迁</c:v>
                </c:pt>
                <c:pt idx="1">
                  <c:v>施工许可</c:v>
                </c:pt>
                <c:pt idx="2">
                  <c:v>房屋市场</c:v>
                </c:pt>
                <c:pt idx="3">
                  <c:v>竣工验收</c:v>
                </c:pt>
                <c:pt idx="4">
                  <c:v>其他</c:v>
                </c:pt>
              </c:strCache>
            </c:strRef>
          </c:cat>
          <c:val>
            <c:numRef>
              <c:f>[工作簿1]Sheet1!$A$2:$E$2</c:f>
              <c:numCache>
                <c:formatCode>General</c:formatCode>
                <c:ptCount val="5"/>
                <c:pt idx="0">
                  <c:v>15</c:v>
                </c:pt>
                <c:pt idx="1">
                  <c:v>6</c:v>
                </c:pt>
                <c:pt idx="2">
                  <c:v>18</c:v>
                </c:pt>
                <c:pt idx="3">
                  <c:v>3</c:v>
                </c:pt>
                <c:pt idx="4">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blipFill>
              <a:blip xmlns:r="http://schemas.openxmlformats.org/officeDocument/2006/relationships" r:embed="rId2"/>
              <a:tile tx="0" ty="0" sx="100000" sy="100000" flip="none" algn="tl"/>
            </a:blipFill>
          </c:spPr>
          <c:explosion val="0"/>
          <c:dPt>
            <c:idx val="0"/>
            <c:bubble3D val="0"/>
            <c:spPr>
              <a:solidFill>
                <a:schemeClr val="accent4"/>
              </a:solidFill>
              <a:ln>
                <a:noFill/>
              </a:ln>
              <a:effectLst>
                <a:outerShdw blurRad="63500" sx="102000" sy="102000" algn="ctr" rotWithShape="0">
                  <a:prstClr val="black">
                    <a:alpha val="20000"/>
                  </a:prstClr>
                </a:outerShdw>
              </a:effectLst>
            </c:spPr>
          </c:dPt>
          <c:dPt>
            <c:idx val="1"/>
            <c:bubble3D val="0"/>
            <c:spPr>
              <a:blipFill>
                <a:blip xmlns:r="http://schemas.openxmlformats.org/officeDocument/2006/relationships" r:embed="rId2"/>
                <a:tile tx="0" ty="0" sx="100000" sy="100000" flip="none" algn="tl"/>
              </a:blipFill>
              <a:ln>
                <a:noFill/>
              </a:ln>
              <a:effectLst>
                <a:outerShdw blurRad="63500" sx="102000" sy="102000" algn="ctr" rotWithShape="0">
                  <a:prstClr val="black">
                    <a:alpha val="20000"/>
                  </a:prstClr>
                </a:outerShdw>
              </a:effectLst>
            </c:spPr>
          </c:dPt>
          <c:dPt>
            <c:idx val="2"/>
            <c:bubble3D val="0"/>
            <c:spPr>
              <a:solidFill>
                <a:schemeClr val="accent4">
                  <a:lumMod val="40000"/>
                  <a:lumOff val="60000"/>
                </a:schemeClr>
              </a:solidFill>
              <a:ln>
                <a:noFill/>
              </a:ln>
              <a:effectLst>
                <a:outerShdw blurRad="63500" sx="102000" sy="102000" algn="ctr" rotWithShape="0">
                  <a:prstClr val="black">
                    <a:alpha val="20000"/>
                  </a:prstClr>
                </a:outerShdw>
              </a:effectLst>
            </c:spPr>
          </c:dPt>
          <c:dLbls>
            <c:dLbl>
              <c:idx val="0"/>
              <c:layout>
                <c:manualLayout>
                  <c:x val="0.118399068517033"/>
                  <c:y val="0.23008325590494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2306593668174"/>
                      <c:h val="0.398752598752599"/>
                    </c:manualLayout>
                  </c15:layout>
                </c:ext>
              </c:extLst>
            </c:dLbl>
            <c:dLbl>
              <c:idx val="1"/>
              <c:layout>
                <c:manualLayout>
                  <c:x val="0.0697044084511884"/>
                  <c:y val="-0.4105665528205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同意公开答复数69%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7545822423233"/>
                      <c:h val="0.349272349272349"/>
                    </c:manualLayout>
                  </c15:layout>
                </c:ext>
              </c:extLst>
            </c:dLbl>
            <c:dLbl>
              <c:idx val="2"/>
              <c:layout>
                <c:manualLayout>
                  <c:x val="-0.105123812490266"/>
                  <c:y val="0.096113497691991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同意部分公开答复数12%</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85622470840276"/>
                      <c:h val="0.359251559251559"/>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[工作簿1]Sheet1!$B$2:$D$2</c:f>
              <c:strCache>
                <c:ptCount val="3"/>
                <c:pt idx="0">
                  <c:v>属于已主动公开范围数</c:v>
                </c:pt>
                <c:pt idx="1">
                  <c:v>同意公开答复数</c:v>
                </c:pt>
                <c:pt idx="2">
                  <c:v>同意部分公开答复数</c:v>
                </c:pt>
              </c:strCache>
            </c:strRef>
          </c:cat>
          <c:val>
            <c:numRef>
              <c:f>[工作簿1]Sheet1!$B$3:$D$3</c:f>
              <c:numCache>
                <c:formatCode>General</c:formatCode>
                <c:ptCount val="3"/>
                <c:pt idx="0">
                  <c:v>9</c:v>
                </c:pt>
                <c:pt idx="1">
                  <c:v>33</c:v>
                </c:pt>
                <c:pt idx="2">
                  <c:v>6</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www.in9.cn</Company>
  <Pages>5</Pages>
  <Words>379</Words>
  <Characters>2162</Characters>
  <Lines>18</Lines>
  <Paragraphs>5</Paragraphs>
  <TotalTime>0</TotalTime>
  <ScaleCrop>false</ScaleCrop>
  <LinksUpToDate>false</LinksUpToDate>
  <CharactersWithSpaces>2536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2015-03-11T02:12:00Z</dcterms:created>
  <dc:creator>aa</dc:creator>
  <cp:lastModifiedBy>yzy</cp:lastModifiedBy>
  <cp:lastPrinted>2016-02-01T08:50:00Z</cp:lastPrinted>
  <dcterms:modified xsi:type="dcterms:W3CDTF">2018-12-19T01:53:02Z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