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0"/>
        <w:jc w:val="center"/>
        <w:rPr>
          <w:rStyle w:val="4"/>
          <w:rFonts w:hint="eastAsia" w:ascii="黑体" w:hAnsi="黑体" w:eastAsia="黑体" w:cs="黑体"/>
          <w:i w:val="0"/>
          <w:caps w:val="0"/>
          <w:color w:val="000000"/>
          <w:spacing w:val="0"/>
          <w:sz w:val="32"/>
          <w:szCs w:val="32"/>
        </w:rPr>
      </w:pPr>
      <w:bookmarkStart w:id="0" w:name="_GoBack"/>
      <w:bookmarkEnd w:id="0"/>
      <w:r>
        <w:rPr>
          <w:rStyle w:val="4"/>
          <w:rFonts w:hint="eastAsia" w:ascii="黑体" w:hAnsi="黑体" w:eastAsia="黑体" w:cs="黑体"/>
          <w:i w:val="0"/>
          <w:caps w:val="0"/>
          <w:color w:val="000000"/>
          <w:spacing w:val="0"/>
          <w:sz w:val="32"/>
          <w:szCs w:val="32"/>
        </w:rPr>
        <w:t>2016年</w:t>
      </w:r>
      <w:r>
        <w:rPr>
          <w:rStyle w:val="4"/>
          <w:rFonts w:hint="eastAsia" w:ascii="黑体" w:hAnsi="黑体" w:eastAsia="黑体" w:cs="黑体"/>
          <w:i w:val="0"/>
          <w:caps w:val="0"/>
          <w:color w:val="000000"/>
          <w:spacing w:val="0"/>
          <w:sz w:val="32"/>
          <w:szCs w:val="32"/>
          <w:lang w:eastAsia="zh-CN"/>
        </w:rPr>
        <w:t>北京市密云区</w:t>
      </w:r>
      <w:r>
        <w:rPr>
          <w:rStyle w:val="4"/>
          <w:rFonts w:hint="eastAsia" w:ascii="黑体" w:hAnsi="黑体" w:eastAsia="黑体" w:cs="黑体"/>
          <w:i w:val="0"/>
          <w:caps w:val="0"/>
          <w:color w:val="000000"/>
          <w:spacing w:val="0"/>
          <w:sz w:val="32"/>
          <w:szCs w:val="32"/>
        </w:rPr>
        <w:t>鼓楼街道办事处政府信息公开工作</w:t>
      </w:r>
    </w:p>
    <w:p>
      <w:pPr>
        <w:pStyle w:val="2"/>
        <w:keepNext w:val="0"/>
        <w:keepLines w:val="0"/>
        <w:widowControl/>
        <w:suppressLineNumbers w:val="0"/>
        <w:spacing w:before="0" w:beforeAutospacing="0" w:after="0" w:afterAutospacing="0" w:line="420" w:lineRule="atLeast"/>
        <w:ind w:left="0" w:right="0" w:firstLine="0"/>
        <w:jc w:val="center"/>
        <w:rPr>
          <w:rStyle w:val="4"/>
          <w:rFonts w:hint="eastAsia" w:ascii="黑体" w:hAnsi="黑体" w:eastAsia="黑体" w:cs="黑体"/>
          <w:i w:val="0"/>
          <w:caps w:val="0"/>
          <w:color w:val="000000"/>
          <w:spacing w:val="0"/>
          <w:sz w:val="32"/>
          <w:szCs w:val="32"/>
        </w:rPr>
      </w:pPr>
      <w:r>
        <w:rPr>
          <w:rStyle w:val="4"/>
          <w:rFonts w:hint="eastAsia" w:ascii="黑体" w:hAnsi="黑体" w:eastAsia="黑体" w:cs="黑体"/>
          <w:i w:val="0"/>
          <w:caps w:val="0"/>
          <w:color w:val="000000"/>
          <w:spacing w:val="0"/>
          <w:sz w:val="32"/>
          <w:szCs w:val="32"/>
        </w:rPr>
        <w:t>报告</w:t>
      </w:r>
    </w:p>
    <w:p>
      <w:pPr>
        <w:pStyle w:val="2"/>
        <w:keepNext w:val="0"/>
        <w:keepLines w:val="0"/>
        <w:widowControl/>
        <w:suppressLineNumbers w:val="0"/>
        <w:spacing w:before="0" w:beforeAutospacing="0" w:after="0" w:afterAutospacing="0" w:line="420" w:lineRule="atLeast"/>
        <w:ind w:left="0" w:right="0" w:firstLine="0"/>
        <w:jc w:val="center"/>
        <w:rPr>
          <w:rStyle w:val="4"/>
          <w:rFonts w:hint="default" w:ascii="黑体" w:hAnsi="黑体" w:eastAsia="黑体" w:cs="黑体"/>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2016年，我街道在区委、区政府的正确领导下，在街道党工委、办事处的具体指导下，认真贯彻落实《中华人民共和国政府信息公开条例》的要求；切实推行了信息公开工作，加强了对行政权力的民主监督，方便了群众办事，促进了全街道经济发展和社会政治稳定。</w:t>
      </w:r>
      <w:r>
        <w:rPr>
          <w:rFonts w:hint="eastAsia" w:asciiTheme="minorEastAsia" w:hAnsiTheme="minorEastAsia" w:eastAsiaTheme="minorEastAsia" w:cstheme="minorEastAsia"/>
          <w:i w:val="0"/>
          <w:caps w:val="0"/>
          <w:color w:val="333333"/>
          <w:spacing w:val="0"/>
          <w:sz w:val="24"/>
          <w:szCs w:val="24"/>
          <w:shd w:val="clear" w:fill="FFFFFF"/>
        </w:rPr>
        <w:t>结合工作实际,创新思路,完善机构,强化组织,进一步完善街道政府信息公开。</w:t>
      </w:r>
      <w:r>
        <w:rPr>
          <w:rFonts w:hint="eastAsia" w:asciiTheme="minorEastAsia" w:hAnsiTheme="minorEastAsia" w:eastAsiaTheme="minorEastAsia" w:cstheme="minorEastAsia"/>
          <w:i w:val="0"/>
          <w:caps w:val="0"/>
          <w:color w:val="000000"/>
          <w:spacing w:val="0"/>
          <w:sz w:val="24"/>
          <w:szCs w:val="24"/>
        </w:rPr>
        <w:t>现将我街道一年来政府信息公开工作情况汇报如下：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right="0" w:firstLine="482" w:firstLineChars="200"/>
        <w:jc w:val="both"/>
        <w:textAlignment w:val="auto"/>
        <w:outlineLvl w:val="9"/>
        <w:rPr>
          <w:rStyle w:val="4"/>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rPr>
        <w:t>完善领导机制，健全公开制度</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jc w:val="both"/>
        <w:textAlignment w:val="auto"/>
        <w:outlineLvl w:val="9"/>
        <w:rPr>
          <w:rStyle w:val="4"/>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一是成立政府信息公开工作领导小组，由街道办事处主任为组长，各科室科长为成员的政府信息公开工作领导小 组，领导小组下设办公室，负责日常工作，明确了有关职责，做到了领导、机构、人员“三到位”。在工作中，强化“一把手挂帅、分管领导具体抓、责任到室、落实到人头”的工作机制，形成纵到底、横到边、上下联动、整体推进的工作体系。今年，我街道政府信息公开领导小组认真学习《中华人民共和国政府信息公开条例》以及有关政府信息公开的文件、规定，并研究政府信息公开有关工作。</w:t>
      </w:r>
      <w:r>
        <w:rPr>
          <w:rFonts w:hint="eastAsia" w:asciiTheme="minorEastAsia" w:hAnsiTheme="minorEastAsia" w:eastAsiaTheme="minorEastAsia" w:cstheme="minorEastAsia"/>
          <w:i w:val="0"/>
          <w:caps w:val="0"/>
          <w:color w:val="333333"/>
          <w:spacing w:val="0"/>
          <w:sz w:val="24"/>
          <w:szCs w:val="24"/>
          <w:shd w:val="clear" w:fill="FFFFFF"/>
        </w:rPr>
        <w:t>二是组织召开政府信息公开工作会议,交流工作经验,分析存在问题,提出解决措施。加强协调指导,推动工作深入扎实开展。</w:t>
      </w:r>
      <w:r>
        <w:rPr>
          <w:rFonts w:hint="eastAsia" w:asciiTheme="minorEastAsia" w:hAnsiTheme="minorEastAsia" w:eastAsiaTheme="minorEastAsia" w:cstheme="minorEastAsia"/>
          <w:i w:val="0"/>
          <w:caps w:val="0"/>
          <w:color w:val="000000"/>
          <w:spacing w:val="0"/>
          <w:sz w:val="24"/>
          <w:szCs w:val="24"/>
        </w:rPr>
        <w:t>建立健全政府重要文件和重大政策宣传解读机制，制定重要文件、研究重大决策时，并同步制定宣传解读方案。完善了信息公开保密审查机制，我街道通过建立健全政府信息公开责任、审议、评议、反馈、备案和监督等6项制度，促进政府信息公开工作走上制度化、规范化的轨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firstLine="482" w:firstLineChars="200"/>
        <w:jc w:val="both"/>
        <w:textAlignment w:val="auto"/>
        <w:outlineLvl w:val="9"/>
        <w:rPr>
          <w:rStyle w:val="4"/>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rPr>
        <w:t>不断提升政府信息公开服务水平</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jc w:val="both"/>
        <w:textAlignment w:val="auto"/>
        <w:outlineLvl w:val="9"/>
        <w:rPr>
          <w:rStyle w:val="4"/>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拓展信息公开内容。我街道对于行政决策、执行、管理、服务、结果方面的信息，坚持以公开为常态、不公开为例外原则，依法依规做好公开工作。涉及公民、法人或者其他组织权力和义务的规范性文件，按规定全面、准确、及时做好信息公开工作。完善了政府信息公开目录，并及时更新，方便群众查询。更新完善政府信息公开指南，并做好信息公开统计工作，加强了信息公开年度报告编制和发布工作，进一步充实重点领域信息公开、政策回应解读、依申请公开工作详细情况、政府信息公开统计数据等内容。建立健全政府网站信息及时更新制度，第一时间发布重要会议、重要活动，重大政策信息；及时更新完善街道各部门主要职责、机构设置、领导简历等信息，便于群众查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二）方便群众查询政府信息。我街道加强不同平台和渠道发布信息的衔接，确保公开内容准确一致。特别要适应传播对象化分众化趋势，更好地运用新技术、新手段，扩大政府信息的传播范围，提高信息到达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三）及时回应社会关注。加强新媒体的运用，加强与区属主要媒体的合作，建立信息共享机制，强化政府网站、新闻网站及主要门户网站的协同联动，及时准确传递政府声音。发挥区政府重大舆情联席会议制度作用，对重要舆情和重大突发事件，依法按程序第一时间予以回应，并根据情况持续发布动态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（四）迅速澄清虚假信息。建立健全政府工作舆情收集、信息共享和虚假信息辟谣机制，对涉及政府工作的虚假信息进行实时监测和报告，并迅速通过政府网站和相关媒体予以澄清。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firstLine="482" w:firstLineChars="200"/>
        <w:jc w:val="both"/>
        <w:textAlignment w:val="auto"/>
        <w:outlineLvl w:val="9"/>
        <w:rPr>
          <w:rStyle w:val="4"/>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sz w:val="24"/>
          <w:szCs w:val="24"/>
        </w:rPr>
        <w:t>信息公开情况及成效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jc w:val="both"/>
        <w:textAlignment w:val="auto"/>
        <w:outlineLvl w:val="9"/>
        <w:rPr>
          <w:rStyle w:val="4"/>
          <w:rFonts w:hint="eastAsia" w:asciiTheme="minorEastAsia" w:hAnsiTheme="minorEastAsia" w:eastAsiaTheme="minorEastAsia" w:cstheme="minorEastAsia"/>
          <w:i w:val="0"/>
          <w:caps w:val="0"/>
          <w:color w:val="333333"/>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333333"/>
          <w:spacing w:val="0"/>
          <w:sz w:val="24"/>
          <w:szCs w:val="24"/>
        </w:rPr>
        <w:t>2016年，我街道主动公开信息173条，公开内容包括我街道职能职责、各科室的办事事项以及业务性科室和居委会的办公电话、政策文件、应急管理、工作信息等类别。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333333"/>
          <w:spacing w:val="0"/>
          <w:sz w:val="24"/>
          <w:szCs w:val="24"/>
        </w:rPr>
        <w:t>今年，按照密云区信息中心及网站普查的要求，我街道的门户网站开设了，调查征集栏目。公开调查征集信息3条。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333333"/>
          <w:spacing w:val="0"/>
          <w:sz w:val="24"/>
          <w:szCs w:val="24"/>
        </w:rPr>
        <w:t>实行政府信息公开以来，我街道干部的服务水平有了明显提高，依法行政的思想观念更加深入，全心全意为人民服务的意识日益增强。实行政府信息公开，不仅方便了群众办事，提高了机关依法行政的透明度，而且进一步密切了干部群众间的关系，促进自身素质和工作效率的提高，为社会主义民主与社会主义和谐迈出了坚实的一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333333"/>
          <w:spacing w:val="0"/>
          <w:sz w:val="24"/>
          <w:szCs w:val="24"/>
        </w:rPr>
        <w:t> </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firstLine="482" w:firstLineChars="200"/>
        <w:jc w:val="both"/>
        <w:textAlignment w:val="auto"/>
        <w:outlineLvl w:val="9"/>
        <w:rPr>
          <w:rStyle w:val="4"/>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rPr>
        <w:t>领导重视，抓好工作落实</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jc w:val="both"/>
        <w:textAlignment w:val="auto"/>
        <w:outlineLvl w:val="9"/>
        <w:rPr>
          <w:rStyle w:val="4"/>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（一）细化责任落实。我街道结合工作实际情况，制定了信息公开细化方案，并完善政府信息制作、审核、公开流程，明确各业务科室提供相关工作动态信息责任，加强督导，确保各项工作落实到位。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（二）加强考核监督。对《中华人民共和国政府信息公开条例》和《北京市政府信息公开规定》落实情况进行专项检查，及时纠正不规范的信息公开行为，加强信息公开及时性、准确性检查。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三）加强队伍建设。在我街道领导的高度重视下，街道把政府信息公开工作作为机关作风建设的首要任务，列入全年工作目标，并纳入党风廉政建设责任制的主要内容。同时街道组织全体人员培训，通过培训加深工作人员对信息保密工作的了解，进而增强信息保密意识。按照谁主管、谁运行，谁使用、谁负责的属地管理原则，把责任落实到领导、科员，层层抓好落实。为增强做好这项工作的紧迫感、责任感和自觉性，街道制定了应对突发事件的管理措施,建立健全的预警机制，确保遇有突发情况能够及时上报并果断处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400" w:lineRule="atLeast"/>
        <w:ind w:left="0" w:leftChars="0" w:right="0" w:firstLine="482" w:firstLineChars="200"/>
        <w:jc w:val="both"/>
        <w:textAlignment w:val="auto"/>
        <w:outlineLvl w:val="9"/>
        <w:rPr>
          <w:rStyle w:val="4"/>
          <w:rFonts w:hint="eastAsia" w:asciiTheme="minorEastAsia" w:hAnsiTheme="minorEastAsia" w:eastAsiaTheme="minorEastAsia" w:cstheme="minorEastAsia"/>
          <w:i w:val="0"/>
          <w:caps w:val="0"/>
          <w:color w:val="2B2B2B"/>
          <w:spacing w:val="0"/>
          <w:sz w:val="24"/>
          <w:szCs w:val="24"/>
          <w:shd w:val="clear" w:fill="FFFFFF"/>
        </w:rPr>
      </w:pPr>
      <w:r>
        <w:rPr>
          <w:rStyle w:val="4"/>
          <w:rFonts w:hint="eastAsia" w:asciiTheme="minorEastAsia" w:hAnsiTheme="minorEastAsia" w:eastAsiaTheme="minorEastAsia" w:cstheme="minorEastAsia"/>
          <w:i w:val="0"/>
          <w:caps w:val="0"/>
          <w:color w:val="2B2B2B"/>
          <w:spacing w:val="0"/>
          <w:sz w:val="24"/>
          <w:szCs w:val="24"/>
          <w:shd w:val="clear" w:fill="FFFFFF"/>
        </w:rPr>
        <w:t>政府信息公开工作存在的不足和问题</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00" w:lineRule="atLeast"/>
        <w:ind w:leftChars="200" w:right="0" w:rightChars="0"/>
        <w:jc w:val="both"/>
        <w:textAlignment w:val="auto"/>
        <w:outlineLvl w:val="9"/>
        <w:rPr>
          <w:rStyle w:val="4"/>
          <w:rFonts w:hint="eastAsia" w:asciiTheme="minorEastAsia" w:hAnsiTheme="minorEastAsia" w:eastAsiaTheme="minorEastAsia" w:cstheme="minorEastAsia"/>
          <w:i w:val="0"/>
          <w:caps w:val="0"/>
          <w:color w:val="2B2B2B"/>
          <w:spacing w:val="0"/>
          <w:sz w:val="24"/>
          <w:szCs w:val="2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2B2B2B"/>
          <w:spacing w:val="0"/>
          <w:sz w:val="24"/>
          <w:szCs w:val="24"/>
          <w:shd w:val="clear" w:fill="FFFFFF"/>
        </w:rPr>
        <w:t>2016 年，我街道信息公开工作虽然取得了一些进步，但是对照</w:t>
      </w:r>
      <w:r>
        <w:rPr>
          <w:rFonts w:hint="eastAsia" w:asciiTheme="minorEastAsia" w:hAnsiTheme="minorEastAsia" w:cstheme="minorEastAsia"/>
          <w:i w:val="0"/>
          <w:caps w:val="0"/>
          <w:color w:val="2B2B2B"/>
          <w:spacing w:val="0"/>
          <w:sz w:val="24"/>
          <w:szCs w:val="24"/>
          <w:shd w:val="clear" w:fill="FFFFFF"/>
          <w:lang w:eastAsia="zh-CN"/>
        </w:rPr>
        <w:t>《中华人民共和国政府信息公开条例》</w:t>
      </w:r>
      <w:r>
        <w:rPr>
          <w:rFonts w:hint="eastAsia" w:asciiTheme="minorEastAsia" w:hAnsiTheme="minorEastAsia" w:eastAsiaTheme="minorEastAsia" w:cstheme="minorEastAsia"/>
          <w:i w:val="0"/>
          <w:caps w:val="0"/>
          <w:color w:val="2B2B2B"/>
          <w:spacing w:val="0"/>
          <w:sz w:val="24"/>
          <w:szCs w:val="24"/>
          <w:shd w:val="clear" w:fill="FFFFFF"/>
        </w:rPr>
        <w:t>规定和上级要求，距离社会公众的愿望，都还存在较大的差距。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atLeast"/>
        <w:ind w:left="0" w:right="0" w:firstLine="482"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2B2B2B"/>
          <w:spacing w:val="0"/>
          <w:sz w:val="24"/>
          <w:szCs w:val="24"/>
          <w:shd w:val="clear" w:fill="FFFFFF"/>
        </w:rPr>
        <w:t>一是依法主动公开意识有待增强</w:t>
      </w:r>
      <w:r>
        <w:rPr>
          <w:rFonts w:hint="eastAsia" w:asciiTheme="minorEastAsia" w:hAnsiTheme="minorEastAsia" w:eastAsiaTheme="minorEastAsia" w:cstheme="minorEastAsia"/>
          <w:i w:val="0"/>
          <w:caps w:val="0"/>
          <w:color w:val="2B2B2B"/>
          <w:spacing w:val="0"/>
          <w:sz w:val="24"/>
          <w:szCs w:val="24"/>
          <w:shd w:val="clear" w:fill="FFFFFF"/>
        </w:rPr>
        <w:t>。少数部门单位领导干部对政府信息公开工作的重要性认识依然不足，怕公开、烦公开等惯性倾向依然存在，影响到主动公开工作的落实。依申请公开工作中超时办理、答非所问等现象仍有存在。部分重要政策文件发布实施后缺乏政策解读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atLeast"/>
        <w:ind w:left="0" w:right="0" w:firstLine="482"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2B2B2B"/>
          <w:spacing w:val="0"/>
          <w:sz w:val="24"/>
          <w:szCs w:val="24"/>
          <w:shd w:val="clear" w:fill="FFFFFF"/>
        </w:rPr>
        <w:t>二是重点领域政府信息公开力度有待加强</w:t>
      </w:r>
      <w:r>
        <w:rPr>
          <w:rFonts w:hint="eastAsia" w:asciiTheme="minorEastAsia" w:hAnsiTheme="minorEastAsia" w:eastAsiaTheme="minorEastAsia" w:cstheme="minorEastAsia"/>
          <w:i w:val="0"/>
          <w:caps w:val="0"/>
          <w:color w:val="2B2B2B"/>
          <w:spacing w:val="0"/>
          <w:sz w:val="24"/>
          <w:szCs w:val="24"/>
          <w:shd w:val="clear" w:fill="FFFFFF"/>
        </w:rPr>
        <w:t>。特别是涉及财政预决算资金和“三公”经费等敏感信息公开的观望情绪仍然较大，行政执法类信息公开在实际工作中仍存在较多困难和问题。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atLeast"/>
        <w:ind w:left="0" w:right="0" w:firstLine="482" w:firstLineChars="200"/>
        <w:jc w:val="both"/>
        <w:textAlignment w:val="auto"/>
        <w:outlineLvl w:val="9"/>
        <w:rPr>
          <w:rFonts w:hint="eastAsia" w:asciiTheme="minorEastAsia" w:hAnsiTheme="minorEastAsia" w:eastAsiaTheme="minorEastAsia" w:cstheme="minorEastAsia"/>
          <w:i w:val="0"/>
          <w:caps w:val="0"/>
          <w:color w:val="2B2B2B"/>
          <w:spacing w:val="0"/>
          <w:sz w:val="24"/>
          <w:szCs w:val="24"/>
          <w:shd w:val="clear" w:fill="FFFFFF"/>
        </w:rPr>
      </w:pPr>
      <w:r>
        <w:rPr>
          <w:rStyle w:val="4"/>
          <w:rFonts w:hint="eastAsia" w:asciiTheme="minorEastAsia" w:hAnsiTheme="minorEastAsia" w:eastAsiaTheme="minorEastAsia" w:cstheme="minorEastAsia"/>
          <w:i w:val="0"/>
          <w:caps w:val="0"/>
          <w:color w:val="2B2B2B"/>
          <w:spacing w:val="0"/>
          <w:sz w:val="24"/>
          <w:szCs w:val="24"/>
          <w:shd w:val="clear" w:fill="FFFFFF"/>
        </w:rPr>
        <w:t>三是公开平台和载体建设管理水平有待提升</w:t>
      </w:r>
      <w:r>
        <w:rPr>
          <w:rFonts w:hint="eastAsia" w:asciiTheme="minorEastAsia" w:hAnsiTheme="minorEastAsia" w:eastAsiaTheme="minorEastAsia" w:cstheme="minorEastAsia"/>
          <w:i w:val="0"/>
          <w:caps w:val="0"/>
          <w:color w:val="2B2B2B"/>
          <w:spacing w:val="0"/>
          <w:sz w:val="24"/>
          <w:szCs w:val="24"/>
          <w:shd w:val="clear" w:fill="FFFFFF"/>
        </w:rPr>
        <w:t>。政府信息公开工作中对微博、微信等新媒体公开形式重视不够。各类公开平台重叠交叉，</w:t>
      </w:r>
      <w:r>
        <w:rPr>
          <w:rFonts w:hint="eastAsia" w:asciiTheme="minorEastAsia" w:hAnsiTheme="minorEastAsia" w:cstheme="minorEastAsia"/>
          <w:i w:val="0"/>
          <w:caps w:val="0"/>
          <w:color w:val="2B2B2B"/>
          <w:spacing w:val="0"/>
          <w:sz w:val="24"/>
          <w:szCs w:val="24"/>
          <w:shd w:val="clear" w:fill="FFFFFF"/>
          <w:lang w:eastAsia="zh-CN"/>
        </w:rPr>
        <w:t>有</w:t>
      </w:r>
      <w:r>
        <w:rPr>
          <w:rFonts w:hint="eastAsia" w:asciiTheme="minorEastAsia" w:hAnsiTheme="minorEastAsia" w:eastAsiaTheme="minorEastAsia" w:cstheme="minorEastAsia"/>
          <w:i w:val="0"/>
          <w:caps w:val="0"/>
          <w:color w:val="2B2B2B"/>
          <w:spacing w:val="0"/>
          <w:sz w:val="24"/>
          <w:szCs w:val="24"/>
          <w:shd w:val="clear" w:fill="FFFFFF"/>
        </w:rPr>
        <w:t>待</w:t>
      </w:r>
      <w:r>
        <w:rPr>
          <w:rFonts w:hint="eastAsia" w:asciiTheme="minorEastAsia" w:hAnsiTheme="minorEastAsia" w:eastAsiaTheme="minorEastAsia" w:cstheme="minorEastAsia"/>
          <w:i w:val="0"/>
          <w:caps w:val="0"/>
          <w:spacing w:val="0"/>
          <w:sz w:val="24"/>
          <w:szCs w:val="24"/>
          <w:u w:val="none"/>
          <w:shd w:val="clear" w:fill="FFFFFF"/>
        </w:rPr>
        <w:fldChar w:fldCharType="begin"/>
      </w:r>
      <w:r>
        <w:rPr>
          <w:rFonts w:hint="eastAsia" w:asciiTheme="minorEastAsia" w:hAnsiTheme="minorEastAsia" w:eastAsiaTheme="minorEastAsia" w:cstheme="minorEastAsia"/>
          <w:i w:val="0"/>
          <w:caps w:val="0"/>
          <w:spacing w:val="0"/>
          <w:sz w:val="24"/>
          <w:szCs w:val="24"/>
          <w:u w:val="none"/>
          <w:shd w:val="clear" w:fill="FFFFFF"/>
        </w:rPr>
        <w:instrText xml:space="preserve"> HYPERLINK "http://www.gkstk.com/article/zhiyeguihua.htm" \o "规划" </w:instrText>
      </w:r>
      <w:r>
        <w:rPr>
          <w:rFonts w:hint="eastAsia" w:asciiTheme="minorEastAsia" w:hAnsiTheme="minorEastAsia" w:eastAsiaTheme="minorEastAsia" w:cstheme="minorEastAsia"/>
          <w:i w:val="0"/>
          <w:caps w:val="0"/>
          <w:spacing w:val="0"/>
          <w:sz w:val="24"/>
          <w:szCs w:val="24"/>
          <w:u w:val="none"/>
          <w:shd w:val="clear" w:fill="FFFFFF"/>
        </w:rPr>
        <w:fldChar w:fldCharType="separate"/>
      </w:r>
      <w:r>
        <w:rPr>
          <w:rStyle w:val="5"/>
          <w:rFonts w:hint="eastAsia" w:asciiTheme="minorEastAsia" w:hAnsiTheme="minorEastAsia" w:eastAsiaTheme="minorEastAsia" w:cstheme="minorEastAsia"/>
          <w:i w:val="0"/>
          <w:caps w:val="0"/>
          <w:color w:val="2B2B2B"/>
          <w:spacing w:val="0"/>
          <w:sz w:val="24"/>
          <w:szCs w:val="24"/>
          <w:u w:val="none"/>
          <w:shd w:val="clear" w:fill="FFFFFF"/>
        </w:rPr>
        <w:t>规划</w:t>
      </w:r>
      <w:r>
        <w:rPr>
          <w:rFonts w:hint="eastAsia" w:asciiTheme="minorEastAsia" w:hAnsiTheme="minorEastAsia" w:eastAsiaTheme="minorEastAsia" w:cstheme="minorEastAsia"/>
          <w:i w:val="0"/>
          <w:caps w:val="0"/>
          <w:spacing w:val="0"/>
          <w:sz w:val="24"/>
          <w:szCs w:val="24"/>
          <w:u w:val="none"/>
          <w:shd w:val="clear" w:fill="FFFFFF"/>
        </w:rPr>
        <w:fldChar w:fldCharType="end"/>
      </w:r>
      <w:r>
        <w:rPr>
          <w:rFonts w:hint="eastAsia" w:asciiTheme="minorEastAsia" w:hAnsiTheme="minorEastAsia" w:eastAsiaTheme="minorEastAsia" w:cstheme="minorEastAsia"/>
          <w:i w:val="0"/>
          <w:caps w:val="0"/>
          <w:color w:val="2B2B2B"/>
          <w:spacing w:val="0"/>
          <w:sz w:val="24"/>
          <w:szCs w:val="24"/>
          <w:shd w:val="clear" w:fill="FFFFFF"/>
        </w:rPr>
        <w:t>整合提升。部分政府网站信息公开平台缺乏互动交流功能，对公众关心的热点、焦点问题信息关注、回应不够。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2B2B2B"/>
          <w:spacing w:val="0"/>
          <w:sz w:val="24"/>
          <w:szCs w:val="24"/>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2" w:firstLineChars="200"/>
        <w:jc w:val="both"/>
        <w:textAlignment w:val="auto"/>
        <w:outlineLvl w:val="9"/>
        <w:rPr>
          <w:rStyle w:val="4"/>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rPr>
        <w:t>六、2017年的工作计划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right="0"/>
        <w:jc w:val="both"/>
        <w:textAlignment w:val="auto"/>
        <w:outlineLvl w:val="9"/>
        <w:rPr>
          <w:rStyle w:val="4"/>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将推进重大行政决策预公开，要积极实行重大决策预公开制度，扩大公众参与，对社会关注度高的决策事项，除依法应当保密的外，在决策前应当向社会公开相关信息，并及时反馈意见采纳情况。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cstheme="minorEastAsia"/>
          <w:i w:val="0"/>
          <w:caps w:val="0"/>
          <w:color w:val="000000"/>
          <w:spacing w:val="0"/>
          <w:sz w:val="24"/>
          <w:szCs w:val="24"/>
          <w:lang w:eastAsia="zh-CN"/>
        </w:rPr>
      </w:pPr>
    </w:p>
    <w:p/>
    <w:tbl>
      <w:tblPr>
        <w:tblStyle w:val="6"/>
        <w:tblW w:w="9555" w:type="dxa"/>
        <w:jc w:val="center"/>
        <w:tblInd w:w="0" w:type="dxa"/>
        <w:tblLayout w:type="fixed"/>
        <w:tblCellMar>
          <w:top w:w="0" w:type="dxa"/>
          <w:left w:w="108" w:type="dxa"/>
          <w:bottom w:w="0" w:type="dxa"/>
          <w:right w:w="108" w:type="dxa"/>
        </w:tblCellMar>
      </w:tblPr>
      <w:tblGrid>
        <w:gridCol w:w="7755"/>
        <w:gridCol w:w="720"/>
        <w:gridCol w:w="1080"/>
      </w:tblGrid>
      <w:tr>
        <w:tblPrEx>
          <w:tblLayout w:type="fixed"/>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方正小标宋简体" w:hAnsi="宋体" w:eastAsia="方正小标宋简体" w:cs="Times New Roman"/>
                <w:color w:val="000000"/>
                <w:kern w:val="0"/>
                <w:sz w:val="44"/>
                <w:szCs w:val="44"/>
              </w:rPr>
            </w:pPr>
            <w:r>
              <w:rPr>
                <w:rFonts w:hint="eastAsia" w:ascii="方正小标宋简体" w:hAnsi="宋体" w:eastAsia="方正小标宋简体" w:cs="方正小标宋简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楷体_GB2312" w:hAnsi="宋体" w:eastAsia="楷体_GB2312" w:cs="Times New Roman"/>
                <w:kern w:val="0"/>
                <w:sz w:val="32"/>
                <w:szCs w:val="32"/>
              </w:rPr>
            </w:pPr>
            <w:r>
              <w:rPr>
                <w:rFonts w:hint="eastAsia" w:ascii="楷体_GB2312" w:hAnsi="宋体" w:eastAsia="楷体_GB2312" w:cs="楷体_GB2312"/>
                <w:kern w:val="0"/>
                <w:sz w:val="32"/>
                <w:szCs w:val="32"/>
              </w:rPr>
              <w:t>（</w:t>
            </w:r>
            <w:r>
              <w:rPr>
                <w:rFonts w:ascii="楷体_GB2312" w:hAnsi="宋体" w:eastAsia="楷体_GB2312" w:cs="楷体_GB2312"/>
                <w:kern w:val="0"/>
                <w:sz w:val="32"/>
                <w:szCs w:val="32"/>
              </w:rPr>
              <w:t>2016</w:t>
            </w:r>
            <w:r>
              <w:rPr>
                <w:rFonts w:hint="eastAsia" w:ascii="楷体_GB2312" w:hAnsi="宋体" w:eastAsia="楷体_GB2312" w:cs="楷体_GB2312"/>
                <w:kern w:val="0"/>
                <w:sz w:val="32"/>
                <w:szCs w:val="32"/>
              </w:rPr>
              <w:t>年度）</w:t>
            </w:r>
          </w:p>
        </w:tc>
      </w:tr>
      <w:tr>
        <w:tblPrEx>
          <w:tblLayout w:type="fixed"/>
          <w:tblCellMar>
            <w:top w:w="0" w:type="dxa"/>
            <w:left w:w="108" w:type="dxa"/>
            <w:bottom w:w="0" w:type="dxa"/>
            <w:right w:w="108" w:type="dxa"/>
          </w:tblCellMar>
        </w:tblPrEx>
        <w:trPr>
          <w:trHeight w:val="405" w:hRule="atLeast"/>
          <w:jc w:val="center"/>
        </w:trPr>
        <w:tc>
          <w:tcPr>
            <w:tcW w:w="7755" w:type="dxa"/>
            <w:tcBorders>
              <w:top w:val="nil"/>
              <w:left w:val="nil"/>
              <w:bottom w:val="nil"/>
              <w:right w:val="nil"/>
            </w:tcBorders>
            <w:shd w:val="clear" w:color="FFFFFF" w:fill="auto"/>
            <w:vAlign w:val="center"/>
          </w:tcPr>
          <w:p>
            <w:pPr>
              <w:widowControl/>
              <w:jc w:val="left"/>
              <w:rPr>
                <w:rFonts w:ascii="宋体" w:cs="宋体"/>
                <w:color w:val="000000"/>
                <w:kern w:val="0"/>
                <w:sz w:val="22"/>
                <w:szCs w:val="22"/>
              </w:rPr>
            </w:pPr>
          </w:p>
        </w:tc>
        <w:tc>
          <w:tcPr>
            <w:tcW w:w="720" w:type="dxa"/>
            <w:tcBorders>
              <w:top w:val="nil"/>
              <w:left w:val="nil"/>
              <w:bottom w:val="nil"/>
              <w:right w:val="nil"/>
            </w:tcBorders>
            <w:shd w:val="clear" w:color="FFFFFF" w:fill="auto"/>
            <w:vAlign w:val="center"/>
          </w:tcPr>
          <w:p>
            <w:pPr>
              <w:widowControl/>
              <w:jc w:val="center"/>
              <w:rPr>
                <w:rFonts w:ascii="宋体" w:cs="宋体"/>
                <w:color w:val="000000"/>
                <w:kern w:val="0"/>
                <w:sz w:val="22"/>
                <w:szCs w:val="22"/>
              </w:rPr>
            </w:pPr>
          </w:p>
        </w:tc>
        <w:tc>
          <w:tcPr>
            <w:tcW w:w="1080" w:type="dxa"/>
            <w:tcBorders>
              <w:top w:val="nil"/>
              <w:left w:val="nil"/>
              <w:bottom w:val="nil"/>
              <w:right w:val="nil"/>
            </w:tcBorders>
            <w:shd w:val="clear" w:color="FFFFFF" w:fill="auto"/>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755"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填报单位（盖章）：鼓楼街道办事处</w:t>
            </w:r>
          </w:p>
        </w:tc>
        <w:tc>
          <w:tcPr>
            <w:tcW w:w="720" w:type="dxa"/>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统</w:t>
            </w:r>
            <w:r>
              <w:rPr>
                <w:rFonts w:ascii="黑体" w:hAnsi="宋体" w:eastAsia="黑体" w:cs="黑体"/>
                <w:color w:val="000000"/>
                <w:kern w:val="0"/>
                <w:sz w:val="24"/>
                <w:szCs w:val="24"/>
              </w:rPr>
              <w:t xml:space="preserve"> </w:t>
            </w:r>
            <w:r>
              <w:rPr>
                <w:rFonts w:hint="eastAsia" w:ascii="黑体" w:hAnsi="宋体" w:eastAsia="黑体" w:cs="黑体"/>
                <w:color w:val="000000"/>
                <w:kern w:val="0"/>
                <w:sz w:val="24"/>
                <w:szCs w:val="24"/>
              </w:rPr>
              <w:t>计</w:t>
            </w:r>
            <w:r>
              <w:rPr>
                <w:rFonts w:ascii="黑体" w:hAnsi="宋体" w:eastAsia="黑体" w:cs="黑体"/>
                <w:color w:val="000000"/>
                <w:kern w:val="0"/>
                <w:sz w:val="24"/>
                <w:szCs w:val="24"/>
              </w:rPr>
              <w:t xml:space="preserve"> </w:t>
            </w:r>
            <w:r>
              <w:rPr>
                <w:rFonts w:hint="eastAsia" w:ascii="黑体" w:hAnsi="宋体" w:eastAsia="黑体" w:cs="黑体"/>
                <w:color w:val="000000"/>
                <w:kern w:val="0"/>
                <w:sz w:val="24"/>
                <w:szCs w:val="24"/>
              </w:rPr>
              <w:t>指</w:t>
            </w:r>
            <w:r>
              <w:rPr>
                <w:rFonts w:ascii="黑体" w:hAnsi="宋体" w:eastAsia="黑体" w:cs="黑体"/>
                <w:color w:val="000000"/>
                <w:kern w:val="0"/>
                <w:sz w:val="24"/>
                <w:szCs w:val="24"/>
              </w:rPr>
              <w:t xml:space="preserve"> </w:t>
            </w:r>
            <w:r>
              <w:rPr>
                <w:rFonts w:hint="eastAsia" w:ascii="黑体" w:hAnsi="宋体" w:eastAsia="黑体" w:cs="黑体"/>
                <w:color w:val="000000"/>
                <w:kern w:val="0"/>
                <w:sz w:val="24"/>
                <w:szCs w:val="24"/>
              </w:rPr>
              <w:t>标</w:t>
            </w:r>
          </w:p>
        </w:tc>
        <w:tc>
          <w:tcPr>
            <w:tcW w:w="720" w:type="dxa"/>
            <w:tcBorders>
              <w:top w:val="single" w:color="auto" w:sz="8" w:space="0"/>
              <w:left w:val="nil"/>
              <w:bottom w:val="single" w:color="auto" w:sz="4" w:space="0"/>
              <w:right w:val="single" w:color="auto" w:sz="4" w:space="0"/>
            </w:tcBorders>
            <w:vAlign w:val="center"/>
          </w:tcPr>
          <w:p>
            <w:pPr>
              <w:widowControl/>
              <w:jc w:val="center"/>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单位</w:t>
            </w:r>
          </w:p>
        </w:tc>
        <w:tc>
          <w:tcPr>
            <w:tcW w:w="1080" w:type="dxa"/>
            <w:tcBorders>
              <w:top w:val="single" w:color="auto" w:sz="8" w:space="0"/>
              <w:left w:val="nil"/>
              <w:bottom w:val="single" w:color="auto" w:sz="4" w:space="0"/>
              <w:right w:val="single" w:color="auto" w:sz="8" w:space="0"/>
            </w:tcBorders>
            <w:vAlign w:val="center"/>
          </w:tcPr>
          <w:p>
            <w:pPr>
              <w:widowControl/>
              <w:jc w:val="center"/>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一、主动公开情况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宋体"/>
                <w:color w:val="000000"/>
                <w:kern w:val="0"/>
                <w:sz w:val="24"/>
                <w:szCs w:val="24"/>
              </w:rPr>
            </w:pP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（一）主动公开政府信息数</w:t>
            </w:r>
            <w:r>
              <w:rPr>
                <w:rFonts w:ascii="仿宋_GB2312" w:hAnsi="宋体" w:eastAsia="仿宋_GB2312" w:cs="Times New Roman"/>
                <w:kern w:val="0"/>
                <w:sz w:val="24"/>
                <w:szCs w:val="24"/>
              </w:rPr>
              <w:br w:type="textWrapping"/>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（不同渠道和方式公开相同信息计</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174</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其中：主动公开规范性文件数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制发规范性文件总数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（二）重点领域公开政府信息数</w:t>
            </w:r>
            <w:r>
              <w:rPr>
                <w:rFonts w:ascii="仿宋_GB2312" w:hAnsi="宋体" w:eastAsia="仿宋_GB2312" w:cs="Times New Roman"/>
                <w:kern w:val="0"/>
                <w:sz w:val="24"/>
                <w:szCs w:val="24"/>
              </w:rPr>
              <w:br w:type="textWrapping"/>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（不同渠道和方式公开相同信息计</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31680" w:hanging="1680" w:hangingChars="700"/>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其中：主动公开财政预算决算、“三公经费”和行政经费信息数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1</w:t>
            </w:r>
          </w:p>
        </w:tc>
      </w:tr>
      <w:tr>
        <w:tblPrEx>
          <w:tblLayout w:type="fixed"/>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3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3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3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3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3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3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3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3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主动公开政府部门预算执行审计结果等信息数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3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8"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vAlign w:val="center"/>
          </w:tcPr>
          <w:p>
            <w:pPr>
              <w:widowControl/>
              <w:jc w:val="center"/>
              <w:rPr>
                <w:rFonts w:ascii="仿宋_GB2312" w:hAnsi="宋体" w:eastAsia="仿宋_GB2312" w:cs="Times New Roman"/>
                <w:kern w:val="0"/>
                <w:sz w:val="24"/>
                <w:szCs w:val="24"/>
              </w:rPr>
            </w:pPr>
          </w:p>
        </w:tc>
        <w:tc>
          <w:tcPr>
            <w:tcW w:w="1080" w:type="dxa"/>
            <w:tcBorders>
              <w:top w:val="single" w:color="auto" w:sz="8" w:space="0"/>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政府公报公开政府信息数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政府网站公开政府信息数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3.</w:t>
            </w:r>
            <w:r>
              <w:rPr>
                <w:rFonts w:hint="eastAsia" w:ascii="仿宋_GB2312" w:hAnsi="宋体" w:eastAsia="仿宋_GB2312" w:cs="仿宋_GB2312"/>
                <w:kern w:val="0"/>
                <w:sz w:val="24"/>
                <w:szCs w:val="24"/>
              </w:rPr>
              <w:t>政务微博公开政府信息数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4.</w:t>
            </w:r>
            <w:r>
              <w:rPr>
                <w:rFonts w:hint="eastAsia" w:ascii="仿宋_GB2312" w:hAnsi="宋体" w:eastAsia="仿宋_GB2312" w:cs="仿宋_GB2312"/>
                <w:kern w:val="0"/>
                <w:sz w:val="24"/>
                <w:szCs w:val="24"/>
              </w:rPr>
              <w:t>政务微信公开政府信息数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5.</w:t>
            </w:r>
            <w:r>
              <w:rPr>
                <w:rFonts w:hint="eastAsia" w:ascii="仿宋_GB2312" w:hAnsi="宋体" w:eastAsia="仿宋_GB2312" w:cs="仿宋_GB2312"/>
                <w:kern w:val="0"/>
                <w:sz w:val="24"/>
                <w:szCs w:val="24"/>
              </w:rPr>
              <w:t>其他方式公开政府信息数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二、回应解读情况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（一）回应公众关注热点或重大舆情数</w:t>
            </w:r>
            <w:r>
              <w:rPr>
                <w:rFonts w:ascii="仿宋_GB2312" w:hAnsi="宋体" w:eastAsia="仿宋_GB2312" w:cs="Times New Roman"/>
                <w:kern w:val="0"/>
                <w:sz w:val="24"/>
                <w:szCs w:val="24"/>
              </w:rPr>
              <w:br w:type="textWrapping"/>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（不同方式回应同一热点或舆情计</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（二）通过不同渠道和方式回应解读的情况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参加或举办新闻发布会总次数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其中：主要负责同志参加新闻发布会次数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其中：主要负责同志参加政府网站在线访谈次数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3.</w:t>
            </w:r>
            <w:r>
              <w:rPr>
                <w:rFonts w:hint="eastAsia" w:ascii="仿宋_GB2312" w:hAnsi="宋体" w:eastAsia="仿宋_GB2312" w:cs="仿宋_GB2312"/>
                <w:kern w:val="0"/>
                <w:sz w:val="24"/>
                <w:szCs w:val="24"/>
              </w:rPr>
              <w:t>政策解读稿件发布数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篇</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4.</w:t>
            </w:r>
            <w:r>
              <w:rPr>
                <w:rFonts w:hint="eastAsia" w:ascii="仿宋_GB2312" w:hAnsi="宋体" w:eastAsia="仿宋_GB2312" w:cs="仿宋_GB2312"/>
                <w:kern w:val="0"/>
                <w:sz w:val="24"/>
                <w:szCs w:val="24"/>
              </w:rPr>
              <w:t>微博微信回应事件数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5.</w:t>
            </w:r>
            <w:r>
              <w:rPr>
                <w:rFonts w:hint="eastAsia" w:ascii="仿宋_GB2312" w:hAnsi="宋体" w:eastAsia="仿宋_GB2312" w:cs="仿宋_GB2312"/>
                <w:kern w:val="0"/>
                <w:sz w:val="24"/>
                <w:szCs w:val="24"/>
              </w:rPr>
              <w:t>其他方式回应事件数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三、依申请公开情况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（一）收到申请数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当面申请数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传真申请数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3.</w:t>
            </w:r>
            <w:r>
              <w:rPr>
                <w:rFonts w:hint="eastAsia" w:ascii="仿宋_GB2312" w:hAnsi="宋体" w:eastAsia="仿宋_GB2312" w:cs="仿宋_GB2312"/>
                <w:kern w:val="0"/>
                <w:sz w:val="24"/>
                <w:szCs w:val="24"/>
              </w:rPr>
              <w:t>网络申请数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4.</w:t>
            </w:r>
            <w:r>
              <w:rPr>
                <w:rFonts w:hint="eastAsia" w:ascii="仿宋_GB2312" w:hAnsi="宋体" w:eastAsia="仿宋_GB2312" w:cs="仿宋_GB2312"/>
                <w:kern w:val="0"/>
                <w:sz w:val="24"/>
                <w:szCs w:val="24"/>
              </w:rPr>
              <w:t>信函申请数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（二）申请办结数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按时办结数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延期办结数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（三）申请答复数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属于已主动公开范围数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同意公开答复数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3.</w:t>
            </w:r>
            <w:r>
              <w:rPr>
                <w:rFonts w:hint="eastAsia" w:ascii="仿宋_GB2312" w:hAnsi="宋体" w:eastAsia="仿宋_GB2312" w:cs="仿宋_GB2312"/>
                <w:kern w:val="0"/>
                <w:sz w:val="24"/>
                <w:szCs w:val="24"/>
              </w:rPr>
              <w:t>同意部分公开答复数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4.</w:t>
            </w:r>
            <w:r>
              <w:rPr>
                <w:rFonts w:hint="eastAsia" w:ascii="仿宋_GB2312" w:hAnsi="宋体" w:eastAsia="仿宋_GB2312" w:cs="仿宋_GB2312"/>
                <w:kern w:val="0"/>
                <w:sz w:val="24"/>
                <w:szCs w:val="24"/>
              </w:rPr>
              <w:t>不同意公开答复数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其中：涉及国家秘密</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涉及商业秘密</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涉及个人隐私</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ind w:left="31680" w:hanging="2400" w:hangingChars="1000"/>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危及国家安全、公共安全、经济安全和社会稳定</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不是《条例》所指政府信息</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法律法规规定的其他情形</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5.</w:t>
            </w:r>
            <w:r>
              <w:rPr>
                <w:rFonts w:hint="eastAsia" w:ascii="仿宋_GB2312" w:hAnsi="宋体" w:eastAsia="仿宋_GB2312" w:cs="仿宋_GB2312"/>
                <w:kern w:val="0"/>
                <w:sz w:val="24"/>
                <w:szCs w:val="24"/>
              </w:rPr>
              <w:t>不属于本行政机关公开数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6.</w:t>
            </w:r>
            <w:r>
              <w:rPr>
                <w:rFonts w:hint="eastAsia" w:ascii="仿宋_GB2312" w:hAnsi="宋体" w:eastAsia="仿宋_GB2312" w:cs="仿宋_GB2312"/>
                <w:kern w:val="0"/>
                <w:sz w:val="24"/>
                <w:szCs w:val="24"/>
              </w:rPr>
              <w:t>申请信息不存在数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7.</w:t>
            </w:r>
            <w:r>
              <w:rPr>
                <w:rFonts w:hint="eastAsia" w:ascii="仿宋_GB2312" w:hAnsi="宋体" w:eastAsia="仿宋_GB2312" w:cs="仿宋_GB2312"/>
                <w:kern w:val="0"/>
                <w:sz w:val="24"/>
                <w:szCs w:val="24"/>
              </w:rPr>
              <w:t>告知作出更改补充数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8.</w:t>
            </w:r>
            <w:r>
              <w:rPr>
                <w:rFonts w:hint="eastAsia" w:ascii="仿宋_GB2312" w:hAnsi="宋体" w:eastAsia="仿宋_GB2312" w:cs="仿宋_GB2312"/>
                <w:kern w:val="0"/>
                <w:sz w:val="24"/>
                <w:szCs w:val="24"/>
              </w:rPr>
              <w:t>告知通过其他途径办理数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四、行政复议数量</w:t>
            </w:r>
          </w:p>
        </w:tc>
        <w:tc>
          <w:tcPr>
            <w:tcW w:w="7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（一）维持具体行政行为数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（二）被依法纠错数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（三）其他情形数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五、行政诉讼数量</w:t>
            </w:r>
          </w:p>
        </w:tc>
        <w:tc>
          <w:tcPr>
            <w:tcW w:w="7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（一）维持具体行政行为或者驳回原告诉讼请求数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（二）被依法纠错数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（三）其他情形数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六、举报投诉数量</w:t>
            </w:r>
          </w:p>
        </w:tc>
        <w:tc>
          <w:tcPr>
            <w:tcW w:w="7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七、依申请公开信息收取的费用</w:t>
            </w:r>
          </w:p>
        </w:tc>
        <w:tc>
          <w:tcPr>
            <w:tcW w:w="7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万元</w:t>
            </w: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八、机构建设和保障经费情况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（一）政府信息公开工作专门机构数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个</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（二）设置政府信息公开查阅点数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个</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（三）从事政府信息公开工作人员数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专职人员数（不包括政府公报及政府网站工作人员数）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兼职人员数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1</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pPr>
              <w:widowControl/>
              <w:ind w:left="31680" w:hanging="960" w:hangingChars="4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万元</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color w:val="000000"/>
                <w:kern w:val="0"/>
                <w:sz w:val="24"/>
                <w:szCs w:val="24"/>
              </w:rPr>
            </w:pPr>
            <w:r>
              <w:rPr>
                <w:rFonts w:hint="eastAsia" w:ascii="黑体" w:hAnsi="宋体" w:eastAsia="黑体" w:cs="黑体"/>
                <w:color w:val="000000"/>
                <w:kern w:val="0"/>
                <w:sz w:val="24"/>
                <w:szCs w:val="24"/>
              </w:rPr>
              <w:t>九、政府信息公开会议和培训情况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宋体"/>
                <w:color w:val="000000"/>
                <w:kern w:val="0"/>
                <w:sz w:val="24"/>
                <w:szCs w:val="24"/>
              </w:rPr>
            </w:pP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（一）召开政府信息公开工作会议或专题会议数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（二）举办各类培训班数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（三）接受培训人员数</w:t>
            </w:r>
          </w:p>
        </w:tc>
        <w:tc>
          <w:tcPr>
            <w:tcW w:w="720" w:type="dxa"/>
            <w:tcBorders>
              <w:top w:val="nil"/>
              <w:left w:val="nil"/>
              <w:bottom w:val="single" w:color="auto" w:sz="8"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人次</w:t>
            </w:r>
          </w:p>
        </w:tc>
        <w:tc>
          <w:tcPr>
            <w:tcW w:w="1080" w:type="dxa"/>
            <w:tcBorders>
              <w:top w:val="nil"/>
              <w:left w:val="nil"/>
              <w:bottom w:val="single" w:color="auto" w:sz="8" w:space="0"/>
              <w:right w:val="single" w:color="auto" w:sz="8"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9555" w:type="dxa"/>
            <w:gridSpan w:val="3"/>
            <w:tcBorders>
              <w:top w:val="single" w:color="auto" w:sz="8" w:space="0"/>
              <w:left w:val="nil"/>
              <w:bottom w:val="nil"/>
              <w:right w:val="nil"/>
            </w:tcBorders>
            <w:vAlign w:val="center"/>
          </w:tcPr>
          <w:p>
            <w:pPr>
              <w:widowControl/>
              <w:jc w:val="left"/>
              <w:rPr>
                <w:rFonts w:ascii="仿宋_GB2312" w:hAnsi="宋体" w:eastAsia="仿宋_GB2312" w:cs="Times New Roman"/>
                <w:kern w:val="0"/>
                <w:sz w:val="24"/>
                <w:szCs w:val="24"/>
              </w:rPr>
            </w:pPr>
          </w:p>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单位负责人：吴海波</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审核人：池立娟</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填报人：李铮</w:t>
            </w:r>
          </w:p>
        </w:tc>
      </w:tr>
      <w:tr>
        <w:tblPrEx>
          <w:tblLayout w:type="fixed"/>
          <w:tblCellMar>
            <w:top w:w="0" w:type="dxa"/>
            <w:left w:w="108" w:type="dxa"/>
            <w:bottom w:w="0" w:type="dxa"/>
            <w:right w:w="108" w:type="dxa"/>
          </w:tblCellMar>
        </w:tblPrEx>
        <w:trPr>
          <w:trHeight w:val="402" w:hRule="atLeast"/>
          <w:jc w:val="center"/>
        </w:trPr>
        <w:tc>
          <w:tcPr>
            <w:tcW w:w="9555" w:type="dxa"/>
            <w:gridSpan w:val="3"/>
            <w:tcBorders>
              <w:top w:val="nil"/>
              <w:left w:val="nil"/>
              <w:bottom w:val="nil"/>
              <w:right w:val="nil"/>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联系电话：</w:t>
            </w:r>
            <w:r>
              <w:rPr>
                <w:rFonts w:ascii="仿宋_GB2312" w:hAnsi="宋体" w:eastAsia="仿宋_GB2312" w:cs="仿宋_GB2312"/>
                <w:kern w:val="0"/>
                <w:sz w:val="24"/>
                <w:szCs w:val="24"/>
              </w:rPr>
              <w:t xml:space="preserve">69042737                                        </w:t>
            </w:r>
            <w:r>
              <w:rPr>
                <w:rFonts w:hint="eastAsia" w:ascii="仿宋_GB2312" w:hAnsi="宋体" w:eastAsia="仿宋_GB2312" w:cs="仿宋_GB2312"/>
                <w:kern w:val="0"/>
                <w:sz w:val="24"/>
                <w:szCs w:val="24"/>
              </w:rPr>
              <w:t>填报日期：</w:t>
            </w:r>
            <w:r>
              <w:rPr>
                <w:rFonts w:ascii="仿宋_GB2312" w:hAnsi="宋体" w:eastAsia="仿宋_GB2312" w:cs="仿宋_GB2312"/>
                <w:kern w:val="0"/>
                <w:sz w:val="24"/>
                <w:szCs w:val="24"/>
              </w:rPr>
              <w:t>2017.1.19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10884"/>
    <w:multiLevelType w:val="singleLevel"/>
    <w:tmpl w:val="78F108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630F3"/>
    <w:rsid w:val="093630F3"/>
    <w:rsid w:val="172446C9"/>
    <w:rsid w:val="5889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2020-04-17T06:57:00Z</dcterms:created>
  <dc:creator>Administrator</dc:creator>
  <cp:lastModifiedBy>ZX-T41</cp:lastModifiedBy>
  <dcterms:modified xsi:type="dcterms:W3CDTF">2023-05-06T07:14:26Z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