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rPr>
          <w:rFonts w:ascii="sans-serif" w:hAnsi="sans-serif" w:eastAsia="sans-serif" w:cs="sans-serif"/>
          <w:b w:val="0"/>
          <w:i w:val="0"/>
          <w:caps w:val="0"/>
          <w:color w:val="000000"/>
          <w:spacing w:val="0"/>
          <w:sz w:val="24"/>
          <w:szCs w:val="24"/>
        </w:rPr>
      </w:pPr>
      <w:r>
        <w:rPr>
          <w:rFonts w:ascii="sans-serif" w:hAnsi="sans-serif" w:eastAsia="sans-serif" w:cs="sans-serif"/>
          <w:b w:val="0"/>
          <w:i w:val="0"/>
          <w:caps w:val="0"/>
          <w:color w:val="000000"/>
          <w:spacing w:val="0"/>
          <w:sz w:val="24"/>
          <w:szCs w:val="24"/>
        </w:rPr>
        <w:t xml:space="preserve">  </w:t>
      </w:r>
    </w:p>
    <w:p>
      <w:pPr>
        <w:pStyle w:val="2"/>
        <w:adjustRightInd w:val="0"/>
        <w:rPr>
          <w:rFonts w:ascii="sans-serif" w:hAnsi="sans-serif" w:eastAsia="sans-serif" w:cs="sans-serif"/>
          <w:b w:val="0"/>
          <w:i w:val="0"/>
          <w:caps w:val="0"/>
          <w:color w:val="000000"/>
          <w:spacing w:val="0"/>
          <w:sz w:val="24"/>
          <w:szCs w:val="24"/>
        </w:rPr>
      </w:pPr>
    </w:p>
    <w:p>
      <w:pPr>
        <w:pStyle w:val="2"/>
        <w:adjustRightInd w:val="0"/>
        <w:rPr>
          <w:rFonts w:ascii="sans-serif" w:hAnsi="sans-serif" w:eastAsia="sans-serif" w:cs="sans-serif"/>
          <w:b w:val="0"/>
          <w:i w:val="0"/>
          <w:caps w:val="0"/>
          <w:color w:val="000000"/>
          <w:spacing w:val="0"/>
          <w:sz w:val="24"/>
          <w:szCs w:val="24"/>
        </w:rPr>
      </w:pPr>
    </w:p>
    <w:p>
      <w:pPr>
        <w:pStyle w:val="2"/>
        <w:adjustRightInd w:val="0"/>
        <w:rPr>
          <w:rFonts w:hint="eastAsia" w:ascii="黑体" w:eastAsia="黑体" w:cs="宋体"/>
          <w:szCs w:val="44"/>
          <w:lang w:eastAsia="zh-CN" w:bidi="ar-SA"/>
        </w:rPr>
      </w:pPr>
      <w:r>
        <w:rPr>
          <w:rFonts w:hint="eastAsia" w:ascii="黑体" w:eastAsia="黑体"/>
          <w:szCs w:val="44"/>
          <w:lang w:eastAsia="zh-CN"/>
        </w:rPr>
        <w:t>密云</w:t>
      </w:r>
      <w:r>
        <w:rPr>
          <w:rFonts w:hint="eastAsia" w:ascii="黑体" w:eastAsia="黑体" w:cs="宋体"/>
          <w:szCs w:val="44"/>
          <w:lang w:eastAsia="zh-CN" w:bidi="ar-SA"/>
        </w:rPr>
        <w:t>县檀营地区办事处</w:t>
      </w:r>
    </w:p>
    <w:p>
      <w:pPr>
        <w:pStyle w:val="2"/>
        <w:adjustRightInd w:val="0"/>
        <w:rPr>
          <w:rFonts w:hint="eastAsia" w:ascii="黑体" w:eastAsia="黑体"/>
          <w:szCs w:val="44"/>
          <w:lang w:eastAsia="zh-CN"/>
        </w:rPr>
      </w:pPr>
      <w:r>
        <w:rPr>
          <w:rFonts w:hint="eastAsia" w:ascii="黑体" w:eastAsia="黑体"/>
          <w:szCs w:val="44"/>
          <w:lang w:eastAsia="zh-CN"/>
        </w:rPr>
        <w:t>201</w:t>
      </w:r>
      <w:r>
        <w:rPr>
          <w:rFonts w:hint="eastAsia" w:ascii="黑体" w:eastAsia="黑体"/>
          <w:szCs w:val="44"/>
          <w:lang w:val="en-US" w:eastAsia="zh-CN"/>
        </w:rPr>
        <w:t>3</w:t>
      </w:r>
      <w:r>
        <w:rPr>
          <w:rFonts w:hint="eastAsia" w:ascii="黑体" w:eastAsia="黑体"/>
          <w:szCs w:val="44"/>
          <w:lang w:eastAsia="zh-CN"/>
        </w:rPr>
        <w:t>年政府信息公</w:t>
      </w:r>
      <w:r>
        <w:rPr>
          <w:rFonts w:hint="eastAsia" w:ascii="黑体" w:eastAsia="黑体" w:cs="宋体"/>
          <w:szCs w:val="44"/>
          <w:lang w:eastAsia="zh-CN" w:bidi="ar-SA"/>
        </w:rPr>
        <w:t>开工作</w:t>
      </w:r>
      <w:r>
        <w:rPr>
          <w:rFonts w:hint="eastAsia" w:ascii="黑体" w:eastAsia="黑体"/>
          <w:szCs w:val="44"/>
          <w:lang w:eastAsia="zh-CN"/>
        </w:rPr>
        <w:t>年度</w:t>
      </w:r>
      <w:r>
        <w:rPr>
          <w:rFonts w:hint="eastAsia" w:ascii="黑体" w:eastAsia="黑体" w:cs="宋体"/>
          <w:szCs w:val="44"/>
          <w:lang w:eastAsia="zh-CN" w:bidi="ar-SA"/>
        </w:rPr>
        <w:t>报</w:t>
      </w:r>
      <w:r>
        <w:rPr>
          <w:rFonts w:hint="eastAsia" w:ascii="黑体" w:eastAsia="黑体"/>
          <w:szCs w:val="44"/>
          <w:lang w:eastAsia="zh-CN"/>
        </w:rPr>
        <w:t>告</w:t>
      </w:r>
    </w:p>
    <w:p>
      <w:pPr>
        <w:pStyle w:val="2"/>
        <w:adjustRightInd w:val="0"/>
        <w:rPr>
          <w:rFonts w:hint="eastAsia" w:ascii="仿宋_GB2312" w:eastAsia="仿宋_GB2312"/>
          <w:szCs w:val="44"/>
          <w:lang w:eastAsia="zh-CN"/>
        </w:rPr>
      </w:pPr>
    </w:p>
    <w:p>
      <w:pPr>
        <w:pStyle w:val="2"/>
        <w:adjustRightInd w:val="0"/>
        <w:jc w:val="both"/>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rPr>
          <w:rFonts w:hint="eastAsia" w:ascii="仿宋_GB2312" w:eastAsia="仿宋_GB2312"/>
          <w:szCs w:val="44"/>
          <w:lang w:eastAsia="zh-CN"/>
        </w:rPr>
      </w:pPr>
    </w:p>
    <w:p>
      <w:pPr>
        <w:pStyle w:val="2"/>
        <w:adjustRightInd w:val="0"/>
        <w:jc w:val="both"/>
        <w:rPr>
          <w:rFonts w:hint="eastAsia" w:ascii="仿宋_GB2312" w:eastAsia="仿宋_GB2312"/>
          <w:szCs w:val="44"/>
          <w:lang w:eastAsia="zh-CN"/>
        </w:rPr>
      </w:pPr>
    </w:p>
    <w:p>
      <w:pPr>
        <w:pStyle w:val="2"/>
        <w:adjustRightInd w:val="0"/>
        <w:rPr>
          <w:rFonts w:hint="eastAsia" w:ascii="仿宋_GB2312" w:eastAsia="仿宋_GB2312"/>
          <w:sz w:val="32"/>
          <w:szCs w:val="32"/>
          <w:lang w:eastAsia="zh-CN"/>
        </w:rPr>
      </w:pPr>
      <w:r>
        <w:rPr>
          <w:rFonts w:hint="eastAsia" w:ascii="仿宋_GB2312" w:eastAsia="仿宋_GB2312"/>
          <w:sz w:val="32"/>
          <w:szCs w:val="32"/>
          <w:lang w:eastAsia="zh-CN"/>
        </w:rPr>
        <w:t>密云县檀营地区办事处</w:t>
      </w:r>
    </w:p>
    <w:p>
      <w:pPr>
        <w:pStyle w:val="2"/>
        <w:adjustRightInd w:val="0"/>
        <w:rPr>
          <w:rFonts w:hint="eastAsia" w:ascii="仿宋_GB2312" w:eastAsia="仿宋_GB2312"/>
          <w:szCs w:val="44"/>
          <w:lang w:eastAsia="zh-CN"/>
        </w:rPr>
      </w:pPr>
      <w:r>
        <w:rPr>
          <w:rFonts w:hint="eastAsia" w:ascii="仿宋_GB2312" w:eastAsia="仿宋_GB2312"/>
          <w:sz w:val="32"/>
          <w:szCs w:val="32"/>
          <w:lang w:eastAsia="zh-CN"/>
        </w:rPr>
        <w:t>二</w:t>
      </w:r>
      <w:r>
        <w:rPr>
          <w:rFonts w:hint="eastAsia" w:ascii="仿宋_GB2312" w:eastAsia="仿宋_GB2312" w:cs="Arial"/>
          <w:sz w:val="32"/>
          <w:szCs w:val="32"/>
          <w:lang w:eastAsia="zh-CN" w:bidi="ar-SA"/>
        </w:rPr>
        <w:t>O</w:t>
      </w:r>
      <w:r>
        <w:rPr>
          <w:rFonts w:hint="eastAsia" w:ascii="仿宋_GB2312" w:eastAsia="仿宋_GB2312"/>
          <w:sz w:val="32"/>
          <w:szCs w:val="32"/>
          <w:lang w:eastAsia="zh-CN"/>
        </w:rPr>
        <w:t>一四年三月</w:t>
      </w:r>
    </w:p>
    <w:p>
      <w:pPr>
        <w:widowControl/>
        <w:ind w:firstLine="880" w:firstLineChars="200"/>
        <w:jc w:val="center"/>
        <w:rPr>
          <w:rFonts w:hint="eastAsia" w:ascii="仿宋_GB2312" w:eastAsia="仿宋_GB2312"/>
          <w:color w:val="000000"/>
          <w:sz w:val="44"/>
          <w:szCs w:val="44"/>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p>
    <w:p>
      <w:pPr>
        <w:widowControl/>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本报告是根据《中华人民共和国政府信息公开条例》（以下简称《条例》）要求，由北京市密云县檀营地区办事处编制的2013年度政府信息公开年度报告。 </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 </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如对本报告有任何疑问，请联系：檀营地区办事处办公室，电话：69091389。 </w:t>
      </w:r>
      <w:r>
        <w:rPr>
          <w:rFonts w:hint="eastAsia" w:ascii="仿宋_GB2312" w:hAnsi="Times New Roman" w:eastAsia="仿宋_GB2312" w:cs="Times New Roman"/>
          <w:color w:val="000000"/>
          <w:sz w:val="32"/>
          <w:szCs w:val="32"/>
        </w:rPr>
        <w:br w:type="textWrapping"/>
      </w:r>
      <w:r>
        <w:rPr>
          <w:rFonts w:hint="eastAsia" w:ascii="仿宋_GB2312" w:hAnsi="Times New Roman" w:eastAsia="仿宋_GB2312" w:cs="Times New Roman"/>
          <w:color w:val="000000"/>
          <w:sz w:val="32"/>
          <w:szCs w:val="32"/>
        </w:rPr>
        <w:t xml:space="preserve">  </w:t>
      </w: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ind w:firstLine="640" w:firstLineChars="200"/>
        <w:rPr>
          <w:rFonts w:hint="eastAsia" w:ascii="仿宋_GB2312" w:hAnsi="仿宋_GB2312" w:eastAsia="仿宋_GB2312" w:cs="仿宋_GB2312"/>
          <w:b w:val="0"/>
          <w:i w:val="0"/>
          <w:caps w:val="0"/>
          <w:color w:val="000000"/>
          <w:spacing w:val="0"/>
          <w:sz w:val="32"/>
          <w:szCs w:val="32"/>
        </w:rPr>
      </w:pPr>
    </w:p>
    <w:p>
      <w:pPr>
        <w:numPr>
          <w:ilvl w:val="0"/>
          <w:numId w:val="1"/>
        </w:numPr>
        <w:ind w:firstLine="2891" w:firstLineChars="9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bCs/>
          <w:i w:val="0"/>
          <w:caps w:val="0"/>
          <w:color w:val="000000"/>
          <w:spacing w:val="0"/>
          <w:sz w:val="32"/>
          <w:szCs w:val="32"/>
        </w:rPr>
        <w:t>概述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根据《条例》要求，自2008年5月1日起我地区开始开展政府信息公开工作。为此，专门配备了1名兼职工作人员，截至2013年底，檀营地区办事处信息公开工作运行正常。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我地区切实加强组织领导，成立了由地区主要领导牵头、副主任主管、办公室具体负责、机关各科室协助的政府信息公开专项工作领导小组和信息保密审查领导小组，统一指导，全面协调，积极推进政府信息公开工作。继续夯实政府信息公开工作基础，拓展公开渠道，创新公开方式，加大公开力度，确保政府信息公开工作制度化、规范化和程序化。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二、政府信息主动公开情况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xml:space="preserve">  </w:t>
      </w:r>
      <w:r>
        <w:rPr>
          <w:rFonts w:hint="eastAsia" w:ascii="仿宋_GB2312" w:hAnsi="仿宋_GB2312" w:eastAsia="仿宋_GB2312" w:cs="仿宋_GB2312"/>
          <w:b/>
          <w:bCs/>
          <w:i w:val="0"/>
          <w:caps w:val="0"/>
          <w:color w:val="000000"/>
          <w:spacing w:val="0"/>
          <w:sz w:val="32"/>
          <w:szCs w:val="32"/>
        </w:rPr>
        <w:t>（一）公开情况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从2013年1月截至</w:t>
      </w:r>
      <w:bookmarkStart w:id="0" w:name="_GoBack"/>
      <w:bookmarkEnd w:id="0"/>
      <w:r>
        <w:rPr>
          <w:rFonts w:hint="eastAsia" w:ascii="仿宋_GB2312" w:hAnsi="仿宋_GB2312" w:eastAsia="仿宋_GB2312" w:cs="仿宋_GB2312"/>
          <w:b w:val="0"/>
          <w:i w:val="0"/>
          <w:caps w:val="0"/>
          <w:color w:val="000000"/>
          <w:spacing w:val="0"/>
          <w:sz w:val="32"/>
          <w:szCs w:val="32"/>
        </w:rPr>
        <w:t>2013年12月我地区共主动公开政府信息120条，全文电子化率达100%。其中，法规文件30条，部门动态44条，会议动态3条，工作动态35条，培训动态8条。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政府信息公开工作的开展过程中，我地区依照《中华人民共和国政府信息公开条例》的有关规定，对于所掌握的信息，除依法不予以公开的，凡与人民群众生产、生活和经济社会活动密切相关的信息，均做到了主动予以公开。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（二）公开形式</w:t>
      </w:r>
      <w:r>
        <w:rPr>
          <w:rFonts w:hint="eastAsia" w:ascii="仿宋_GB2312" w:hAnsi="仿宋_GB2312" w:eastAsia="仿宋_GB2312" w:cs="仿宋_GB2312"/>
          <w:b w:val="0"/>
          <w:i w:val="0"/>
          <w:caps w:val="0"/>
          <w:color w:val="000000"/>
          <w:spacing w:val="0"/>
          <w:sz w:val="32"/>
          <w:szCs w:val="32"/>
        </w:rPr>
        <w:t>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rPr>
        <w:t>在主动公开的信息中，为方便公众了解信息，我地区在主动公开政府信息的形式上做了政府网站工作，即主要通过政府网站公开政府信息。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三、政府信息依申请公开情况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2013年，我地区未收到政府信息公开申请，不存在依申请答复情况。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四、人员和收支情况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（一）工作人员情况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全地区从事政府信息公开工作的兼职人员共1人。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（二）依申请公开政府信息收费情况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2013年，依申请提供政府信息共收取检索、复印、邮递等成本费用共计0元。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（三）依申请公开政府信息减免收费情况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2013年，对政府信息公开申请人减免收取检索、复印、邮递等成本费用共计0元。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（四）与诉讼有关的费用支出</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2013年本机关与诉讼有关的费用支出共计0元。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五、咨询情况</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2013年，我地区共接受公民、法人及其他组织政府信息公开方面的咨询0人次。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六、行政复议和行政诉讼情况 </w:t>
      </w:r>
      <w:r>
        <w:rPr>
          <w:rFonts w:hint="eastAsia" w:ascii="仿宋_GB2312" w:hAnsi="仿宋_GB2312" w:eastAsia="仿宋_GB2312" w:cs="仿宋_GB2312"/>
          <w:b/>
          <w:bCs/>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2013年，针对本地区政府信息公开的行政复议申请0件，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针对本政府信息公开的行政诉讼案0件。针对本政府信息公开的申诉案0件。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bCs/>
          <w:i w:val="0"/>
          <w:caps w:val="0"/>
          <w:color w:val="000000"/>
          <w:spacing w:val="0"/>
          <w:sz w:val="32"/>
          <w:szCs w:val="32"/>
        </w:rPr>
        <w:t>七、主要问题和改进措施</w:t>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2013年，我地区的信息公开工作进展顺利，圆满完成了各项工作，但仍存在一些不足：一是信息公开的形式有待进一步丰富；二是信息公开的内容有待进一步充实；三是要进一步处理好信息公开和信息保密的关系。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2014年，我地区将从以下三个方面改进：一是根据《条例》内容，进一步拓宽信息公开的渠道，丰富信息公开的形式；二是及时更新公开的信息，充实信息公开的内容；三是进一步完善信息公开和信息保密制度，确保政府信息公开工作的顺利开展。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檀营地区办事处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2014年2月25日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sans-serif">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55880" cy="131445"/>
              <wp:effectExtent l="0" t="0" r="0" b="0"/>
              <wp:wrapSquare wrapText="bothSides"/>
              <wp:docPr id="1" name="文本框 1"/>
              <wp:cNvGraphicFramePr/>
              <a:graphic xmlns:a="http://schemas.openxmlformats.org/drawingml/2006/main">
                <a:graphicData uri="http://schemas.microsoft.com/office/word/2010/wordprocessingShape">
                  <wps:wsp>
                    <wps:cNvSpPr txBox="true"/>
                    <wps:spPr>
                      <a:xfrm>
                        <a:off x="0" y="0"/>
                        <a:ext cx="55880" cy="131445"/>
                      </a:xfrm>
                      <a:prstGeom prst="rect">
                        <a:avLst/>
                      </a:prstGeom>
                      <a:noFill/>
                      <a:ln>
                        <a:noFill/>
                      </a:ln>
                    </wps:spPr>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4.4pt;mso-position-horizontal:right;mso-position-horizontal-relative:margin;mso-wrap-distance-bottom:0pt;mso-wrap-distance-left:0pt;mso-wrap-distance-right:0pt;mso-wrap-distance-top:0pt;mso-wrap-style:none;z-index:251659264;mso-width-relative:page;mso-height-relative:page;" filled="f" stroked="f" coordsize="21600,21600" o:gfxdata="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btm6c8AAAACAQAADwAAAAAAAAABACAAAAA4AAAAZHJzL2Rvd25yZXYu&#10;eG1sUEsBAhQAFAAAAAgAh07iQNgCdQq1AQAATgMAAA4AAAAAAAAAAQAgAAAANAEAAGRycy9lMm9E&#10;b2MueG1sUEsFBgAAAAAGAAYAWQEAAFsFAAAAAA==&#10;">
              <v:fill on="f" focussize="0,0"/>
              <v:stroke on="f"/>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0</wp:posOffset>
              </wp:positionV>
              <wp:extent cx="27305" cy="131445"/>
              <wp:effectExtent l="0" t="0" r="0" b="0"/>
              <wp:wrapSquare wrapText="bothSides"/>
              <wp:docPr id="2" name="文本框 2"/>
              <wp:cNvGraphicFramePr/>
              <a:graphic xmlns:a="http://schemas.openxmlformats.org/drawingml/2006/main">
                <a:graphicData uri="http://schemas.microsoft.com/office/word/2010/wordprocessingShape">
                  <wps:wsp>
                    <wps:cNvSpPr txBox="true"/>
                    <wps:spPr>
                      <a:xfrm>
                        <a:off x="0" y="0"/>
                        <a:ext cx="27305" cy="131445"/>
                      </a:xfrm>
                      <a:prstGeom prst="rect">
                        <a:avLst/>
                      </a:prstGeom>
                      <a:noFill/>
                      <a:ln>
                        <a:noFill/>
                      </a:ln>
                    </wps:spPr>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 xml:space="preserve"> </w:t>
                          </w:r>
                          <w:r>
                            <w:rPr>
                              <w:rStyle w:val="7"/>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0.35pt;width:2.15pt;mso-position-horizontal:right;mso-position-horizontal-relative:margin;mso-wrap-distance-bottom:0pt;mso-wrap-distance-left:0pt;mso-wrap-distance-right:0pt;mso-wrap-distance-top:0pt;mso-wrap-style:none;z-index:251658240;mso-width-relative:page;mso-height-relative:page;" filled="f" stroked="f" coordsize="21600,21600" o:gfxdata="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MXAiT0AAAAAIBAAAPAAAAAAAAAAEAIAAAADgAAABkcnMvZG93bnJl&#10;di54bWxQSwECFAAUAAAACACHTuJAS7Y2dbYBAABOAwAADgAAAAAAAAABACAAAAA1AQAAZHJzL2Uy&#10;b0RvYy54bWxQSwUGAAAAAAYABgBZAQAAXQUAAAAA&#10;">
              <v:fill on="f" focussize="0,0"/>
              <v:stroke on="f"/>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 xml:space="preserve"> </w:t>
                    </w:r>
                    <w:r>
                      <w:rPr>
                        <w:rStyle w:val="7"/>
                      </w:rP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3D590"/>
    <w:multiLevelType w:val="singleLevel"/>
    <w:tmpl w:val="95B3D5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76D78"/>
    <w:rsid w:val="3EBFA51C"/>
    <w:rsid w:val="478A193E"/>
    <w:rsid w:val="7E776D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uppressAutoHyphens/>
      <w:jc w:val="center"/>
    </w:pPr>
    <w:rPr>
      <w:rFonts w:ascii="方正小标宋简体" w:eastAsia="方正小标宋简体"/>
      <w:color w:val="000000"/>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2020-04-17T15:43:00Z</dcterms:created>
  <dc:creator>pc</dc:creator>
  <cp:lastModifiedBy>平凡</cp:lastModifiedBy>
  <dcterms:modified xsi:type="dcterms:W3CDTF">2022-03-09T14:47:06Z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