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2020年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eastAsia="方正小标宋_GBK"/>
          <w:sz w:val="44"/>
          <w:szCs w:val="44"/>
        </w:rPr>
        <w:t>月区政府工作报告重点工作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进展情况表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承办单位：</w:t>
      </w:r>
      <w:r>
        <w:rPr>
          <w:rFonts w:hint="eastAsia" w:ascii="仿宋_GB2312" w:eastAsia="仿宋_GB2312"/>
          <w:sz w:val="24"/>
          <w:lang w:eastAsia="zh-CN"/>
        </w:rPr>
        <w:t>密云</w:t>
      </w:r>
      <w:r>
        <w:rPr>
          <w:rFonts w:hint="eastAsia" w:ascii="仿宋_GB2312" w:eastAsia="仿宋_GB2312"/>
          <w:sz w:val="24"/>
        </w:rPr>
        <w:t>水库</w:t>
      </w:r>
      <w:r>
        <w:rPr>
          <w:rFonts w:hint="eastAsia" w:ascii="仿宋_GB2312" w:eastAsia="仿宋_GB2312"/>
          <w:sz w:val="24"/>
          <w:lang w:eastAsia="zh-CN"/>
        </w:rPr>
        <w:t>综合</w:t>
      </w:r>
      <w:r>
        <w:rPr>
          <w:rFonts w:hint="eastAsia" w:ascii="仿宋_GB2312" w:eastAsia="仿宋_GB2312"/>
          <w:sz w:val="24"/>
        </w:rPr>
        <w:t>执法大队                     填报日期：2020-0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-2</w:t>
      </w:r>
      <w:r>
        <w:rPr>
          <w:rFonts w:hint="eastAsia" w:ascii="仿宋_GB2312" w:eastAsia="仿宋_GB2312"/>
          <w:sz w:val="24"/>
          <w:lang w:val="en-US" w:eastAsia="zh-CN"/>
        </w:rPr>
        <w:t>4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022"/>
        <w:gridCol w:w="2661"/>
        <w:gridCol w:w="1611"/>
        <w:gridCol w:w="308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85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683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611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86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加强密云水库综合执法大队执法能力建设，完善水库智能监控系统，发挥保水网格员队伍作用，打造人防、物防、技防三位一体的全方位保水体系。强化行刑衔接，形成有效防范、执法必严的震慑效果。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</w:t>
            </w:r>
            <w:r>
              <w:rPr>
                <w:rFonts w:hint="eastAsia" w:ascii="仿宋_GB2312" w:eastAsia="仿宋_GB2312"/>
                <w:b/>
                <w:sz w:val="24"/>
              </w:rPr>
              <w:t>目标</w:t>
            </w:r>
          </w:p>
        </w:tc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密云水库综合执法大队执法能力显著提升，水库智能监控系统更加完善，保水网格员队伍建设更加规范，人防、物防、技防三位一体的全方位保水体系更加完善。行刑衔接及时有效，震慑效果明显，库区秩序稳定、水源安全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2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noWrap w:val="0"/>
            <w:vAlign w:val="bottom"/>
          </w:tcPr>
          <w:p>
            <w:pPr>
              <w:spacing w:line="560" w:lineRule="exact"/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已完成全年任务（具体完成时间为）</w:t>
            </w:r>
          </w:p>
          <w:p>
            <w:pPr>
              <w:spacing w:line="560" w:lineRule="exact"/>
              <w:ind w:right="104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（√）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 xml:space="preserve"> %）</w:t>
            </w:r>
          </w:p>
          <w:p>
            <w:pPr>
              <w:spacing w:line="560" w:lineRule="exact"/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  <w:t>1.推进执法平台建设。加强与市、区司法局沟通联系，推进执法平台建设，目前平台基本信息已建立，并将有证执法人员信息提交市司法局，待下一步更换综合执法证；向市司法局提交综合执法专业考试试题，待市司法局统一进行执法资格考试。制定《案件审批制度》《文书制作使用规范》《行政处罚案件集体讨论》等制度，建立规范严谨的执法工作规程。</w:t>
            </w: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  <w:t>开展业务培训，提高执法能力。加强执法人员自学，每周通过微信群，推送法制学习内容，鼓励执法人员自学相关法律法规，定期开展法律知识测试。强化行刑衔接。与区法院、检察院共同印发《关于共同推进密云水库生态环境保护扫黑除恶专项斗争工作办法》，与市检察院、市农业局渔政站、区检察院联合开展执法行动，严厉打击涉水违法违规行为。</w:t>
            </w: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  <w:t>2.视频监控工程已完成总控和分控中心设备安装，正在进行设备调试，通信和供电底网铺设推进中。</w:t>
            </w:r>
          </w:p>
          <w:p>
            <w:pPr>
              <w:spacing w:line="400" w:lineRule="exact"/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  <w:t>3.深化网格精细化管理，落实网格员职责，加强对各镇网格员履职情况的监管。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  <w:t>4.加强155米高程围网监督管理，强化日常巡护，及时修复破损围网，确保库区封闭管理。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02EF5"/>
    <w:rsid w:val="3200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2020-06-29T01:58:00Z</dcterms:created>
  <dc:creator>lll</dc:creator>
  <cp:lastModifiedBy>lll</cp:lastModifiedBy>
  <dcterms:modified xsi:type="dcterms:W3CDTF">2020-06-29T01:59:00Z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