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2020年</w:t>
      </w:r>
      <w:r>
        <w:rPr>
          <w:rFonts w:hint="eastAsia" w:ascii="方正小标宋_GBK" w:eastAsia="方正小标宋_GBK"/>
          <w:sz w:val="44"/>
          <w:szCs w:val="44"/>
          <w:lang w:val="en-US" w:eastAsia="zh-CN"/>
        </w:rPr>
        <w:t>6</w:t>
      </w:r>
      <w:r>
        <w:rPr>
          <w:rFonts w:hint="eastAsia" w:ascii="方正小标宋_GBK" w:eastAsia="方正小标宋_GBK"/>
          <w:sz w:val="44"/>
          <w:szCs w:val="44"/>
        </w:rPr>
        <w:t>月区政府工作报告重点工作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进展情况表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小标宋_GBK" w:eastAsia="方正小标宋_GBK"/>
          <w:sz w:val="44"/>
          <w:szCs w:val="44"/>
        </w:rPr>
      </w:pPr>
    </w:p>
    <w:p>
      <w:pPr>
        <w:spacing w:line="400" w:lineRule="exact"/>
        <w:jc w:val="center"/>
        <w:rPr>
          <w:rFonts w:hint="default"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p>
    <w:p>
      <w:pPr>
        <w:spacing w:line="400" w:lineRule="exact"/>
        <w:ind w:left="-1" w:leftChars="-405" w:right="-907" w:rightChars="-432" w:hanging="849" w:hangingChars="354"/>
        <w:rPr>
          <w:rFonts w:hint="default" w:ascii="仿宋_GB2312" w:eastAsia="仿宋_GB2312"/>
          <w:sz w:val="28"/>
          <w:szCs w:val="28"/>
        </w:rPr>
      </w:pPr>
      <w:r>
        <w:rPr>
          <w:rFonts w:hint="eastAsia" w:ascii="仿宋_GB2312" w:eastAsia="仿宋_GB2312"/>
          <w:sz w:val="24"/>
        </w:rPr>
        <w:t>承办单位：</w:t>
      </w:r>
      <w:r>
        <w:rPr>
          <w:rFonts w:hint="eastAsia" w:ascii="仿宋_GB2312" w:eastAsia="仿宋_GB2312"/>
          <w:sz w:val="24"/>
          <w:lang w:eastAsia="zh-CN"/>
        </w:rPr>
        <w:t>密云水库综合</w:t>
      </w:r>
      <w:r>
        <w:rPr>
          <w:rFonts w:hint="eastAsia" w:ascii="仿宋_GB2312" w:eastAsia="仿宋_GB2312"/>
          <w:sz w:val="24"/>
        </w:rPr>
        <w:t>执法大队                     填报日期：2020-0</w:t>
      </w:r>
      <w:r>
        <w:rPr>
          <w:rFonts w:hint="eastAsia" w:ascii="仿宋_GB2312" w:eastAsia="仿宋_GB2312"/>
          <w:sz w:val="24"/>
          <w:lang w:val="en-US" w:eastAsia="zh-CN"/>
        </w:rPr>
        <w:t>6</w:t>
      </w:r>
      <w:r>
        <w:rPr>
          <w:rFonts w:hint="eastAsia" w:ascii="仿宋_GB2312" w:eastAsia="仿宋_GB2312"/>
          <w:sz w:val="24"/>
        </w:rPr>
        <w:t>-2</w:t>
      </w:r>
      <w:r>
        <w:rPr>
          <w:rFonts w:hint="eastAsia" w:ascii="仿宋_GB2312" w:eastAsia="仿宋_GB2312"/>
          <w:sz w:val="24"/>
          <w:lang w:val="en-US" w:eastAsia="zh-CN"/>
        </w:rPr>
        <w:t>4</w:t>
      </w:r>
    </w:p>
    <w:tbl>
      <w:tblPr>
        <w:tblStyle w:val="2"/>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86"/>
        <w:gridCol w:w="1021"/>
        <w:gridCol w:w="2660"/>
        <w:gridCol w:w="1611"/>
        <w:gridCol w:w="308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1686" w:type="dxa"/>
            <w:tcBorders>
              <w:top w:val="thinThickSmallGap" w:color="auto" w:sz="12" w:space="0"/>
              <w:left w:val="thinThickSmallGap" w:color="auto" w:sz="12" w:space="0"/>
              <w:bottom w:val="single" w:color="auto" w:sz="8" w:space="0"/>
              <w:right w:val="single" w:color="auto" w:sz="8"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项目序号</w:t>
            </w:r>
          </w:p>
        </w:tc>
        <w:tc>
          <w:tcPr>
            <w:tcW w:w="3681" w:type="dxa"/>
            <w:gridSpan w:val="2"/>
            <w:tcBorders>
              <w:top w:val="thinThickSmallGap" w:color="auto" w:sz="12" w:space="0"/>
              <w:left w:val="single" w:color="auto" w:sz="8" w:space="0"/>
              <w:bottom w:val="single" w:color="auto" w:sz="8" w:space="0"/>
              <w:right w:val="single" w:color="auto" w:sz="8"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7</w:t>
            </w:r>
          </w:p>
        </w:tc>
        <w:tc>
          <w:tcPr>
            <w:tcW w:w="1611" w:type="dxa"/>
            <w:tcBorders>
              <w:top w:val="thinThickSmallGap" w:color="auto" w:sz="12" w:space="0"/>
              <w:left w:val="single" w:color="auto" w:sz="8" w:space="0"/>
              <w:bottom w:val="single" w:color="auto" w:sz="8" w:space="0"/>
              <w:right w:val="single" w:color="auto" w:sz="8"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完成期限</w:t>
            </w:r>
          </w:p>
        </w:tc>
        <w:tc>
          <w:tcPr>
            <w:tcW w:w="3087" w:type="dxa"/>
            <w:tcBorders>
              <w:top w:val="thinThickSmallGap" w:color="auto" w:sz="12" w:space="0"/>
              <w:left w:val="single" w:color="auto" w:sz="8" w:space="0"/>
              <w:bottom w:val="single" w:color="auto" w:sz="8" w:space="0"/>
              <w:right w:val="thickThinSmallGap" w:color="auto" w:sz="12"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2020-12-31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jc w:val="center"/>
        </w:trPr>
        <w:tc>
          <w:tcPr>
            <w:tcW w:w="1686" w:type="dxa"/>
            <w:tcBorders>
              <w:top w:val="single" w:color="auto" w:sz="8" w:space="0"/>
              <w:left w:val="thinThickSmallGap" w:color="auto" w:sz="12" w:space="0"/>
              <w:bottom w:val="single" w:color="auto" w:sz="8" w:space="0"/>
              <w:right w:val="single" w:color="auto" w:sz="8"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项目</w:t>
            </w:r>
            <w:r>
              <w:rPr>
                <w:rFonts w:hint="eastAsia" w:ascii="仿宋_GB2312" w:eastAsia="仿宋_GB2312"/>
                <w:b/>
                <w:sz w:val="24"/>
              </w:rPr>
              <w:t>名称</w:t>
            </w:r>
          </w:p>
        </w:tc>
        <w:tc>
          <w:tcPr>
            <w:tcW w:w="8379" w:type="dxa"/>
            <w:gridSpan w:val="4"/>
            <w:tcBorders>
              <w:top w:val="single" w:color="auto" w:sz="8" w:space="0"/>
              <w:left w:val="single" w:color="auto" w:sz="8" w:space="0"/>
              <w:bottom w:val="single" w:color="auto" w:sz="8" w:space="0"/>
              <w:right w:val="thickThinSmallGap" w:color="auto" w:sz="12" w:space="0"/>
            </w:tcBorders>
            <w:noWrap w:val="0"/>
            <w:vAlign w:val="center"/>
          </w:tcPr>
          <w:p>
            <w:pPr>
              <w:spacing w:line="400" w:lineRule="exact"/>
              <w:rPr>
                <w:rFonts w:hint="default" w:ascii="仿宋_GB2312" w:eastAsia="仿宋_GB2312"/>
                <w:sz w:val="24"/>
              </w:rPr>
            </w:pPr>
            <w:r>
              <w:rPr>
                <w:rFonts w:hint="eastAsia" w:ascii="仿宋_GB2312" w:eastAsia="仿宋_GB2312"/>
                <w:sz w:val="24"/>
              </w:rPr>
              <w:t>把密云水库水源保护工作纳入全区经济社会责任考核和综治维稳考核，实施党政领导干部水源保护责任追究和离任审计制度。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jc w:val="center"/>
        </w:trPr>
        <w:tc>
          <w:tcPr>
            <w:tcW w:w="1686" w:type="dxa"/>
            <w:tcBorders>
              <w:top w:val="single" w:color="auto" w:sz="8" w:space="0"/>
              <w:left w:val="thinThickSmallGap" w:color="auto" w:sz="12" w:space="0"/>
              <w:bottom w:val="single" w:color="auto" w:sz="8" w:space="0"/>
              <w:right w:val="single" w:color="auto" w:sz="8"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年度完成</w:t>
            </w:r>
            <w:r>
              <w:rPr>
                <w:rFonts w:hint="eastAsia" w:ascii="仿宋_GB2312" w:eastAsia="仿宋_GB2312"/>
                <w:b/>
                <w:sz w:val="24"/>
              </w:rPr>
              <w:t>目标</w:t>
            </w:r>
          </w:p>
        </w:tc>
        <w:tc>
          <w:tcPr>
            <w:tcW w:w="8379" w:type="dxa"/>
            <w:gridSpan w:val="4"/>
            <w:tcBorders>
              <w:top w:val="single" w:color="auto" w:sz="8" w:space="0"/>
              <w:left w:val="single" w:color="auto" w:sz="8" w:space="0"/>
              <w:bottom w:val="single" w:color="auto" w:sz="8" w:space="0"/>
              <w:right w:val="thickThinSmallGap" w:color="auto" w:sz="12" w:space="0"/>
            </w:tcBorders>
            <w:noWrap w:val="0"/>
            <w:vAlign w:val="center"/>
          </w:tcPr>
          <w:p>
            <w:pPr>
              <w:spacing w:line="400" w:lineRule="exact"/>
              <w:rPr>
                <w:rFonts w:hint="default" w:ascii="仿宋_GB2312" w:eastAsia="仿宋_GB2312"/>
                <w:sz w:val="24"/>
                <w:lang w:val="en-US" w:eastAsia="zh-CN"/>
              </w:rPr>
            </w:pPr>
            <w:r>
              <w:rPr>
                <w:rFonts w:hint="eastAsia" w:ascii="仿宋_GB2312" w:eastAsia="仿宋_GB2312"/>
                <w:sz w:val="24"/>
                <w:lang w:val="en-US" w:eastAsia="zh-CN"/>
              </w:rPr>
              <w:t>考核机制更加完善，监管作用充分发挥，绩效明显提升，密云水库水源保护工作全面完成。</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jc w:val="center"/>
        </w:trPr>
        <w:tc>
          <w:tcPr>
            <w:tcW w:w="1686" w:type="dxa"/>
            <w:tcBorders>
              <w:top w:val="single" w:color="auto" w:sz="8" w:space="0"/>
              <w:left w:val="thinThickSmallGap" w:color="auto" w:sz="12" w:space="0"/>
              <w:bottom w:val="single" w:color="auto" w:sz="8" w:space="0"/>
              <w:right w:val="single" w:color="auto" w:sz="8" w:space="0"/>
            </w:tcBorders>
            <w:noWrap w:val="0"/>
            <w:vAlign w:val="center"/>
          </w:tcPr>
          <w:p>
            <w:pPr>
              <w:spacing w:line="560" w:lineRule="exact"/>
              <w:jc w:val="center"/>
              <w:rPr>
                <w:rFonts w:hint="default" w:ascii="仿宋_GB2312" w:eastAsia="仿宋_GB2312"/>
                <w:sz w:val="24"/>
              </w:rPr>
            </w:pPr>
            <w:r>
              <w:rPr>
                <w:rFonts w:hint="eastAsia" w:ascii="仿宋_GB2312" w:eastAsia="仿宋_GB2312"/>
                <w:sz w:val="24"/>
              </w:rPr>
              <w:t>是否符合预案</w:t>
            </w:r>
          </w:p>
        </w:tc>
        <w:tc>
          <w:tcPr>
            <w:tcW w:w="8379" w:type="dxa"/>
            <w:gridSpan w:val="4"/>
            <w:tcBorders>
              <w:top w:val="single" w:color="auto" w:sz="8" w:space="0"/>
              <w:left w:val="single" w:color="auto" w:sz="8" w:space="0"/>
              <w:bottom w:val="single" w:color="auto" w:sz="8" w:space="0"/>
              <w:right w:val="thickThinSmallGap" w:color="auto" w:sz="12" w:space="0"/>
            </w:tcBorders>
            <w:noWrap w:val="0"/>
            <w:vAlign w:val="center"/>
          </w:tcPr>
          <w:p>
            <w:pPr>
              <w:spacing w:line="400" w:lineRule="exact"/>
              <w:rPr>
                <w:rFonts w:hint="default" w:ascii="仿宋_GB2312" w:eastAsia="仿宋_GB2312"/>
                <w:sz w:val="24"/>
              </w:rPr>
            </w:pPr>
            <w:r>
              <w:rPr>
                <w:rFonts w:hint="eastAsia" w:ascii="仿宋_GB2312" w:eastAsia="仿宋_GB2312"/>
                <w:sz w:val="24"/>
              </w:rPr>
              <w:t>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2062" w:hRule="atLeast"/>
          <w:jc w:val="center"/>
        </w:trPr>
        <w:tc>
          <w:tcPr>
            <w:tcW w:w="2707" w:type="dxa"/>
            <w:gridSpan w:val="2"/>
            <w:tcBorders>
              <w:top w:val="single" w:color="auto" w:sz="8" w:space="0"/>
              <w:left w:val="thinThickSmallGap" w:color="auto" w:sz="12" w:space="0"/>
              <w:bottom w:val="single" w:color="auto" w:sz="8" w:space="0"/>
              <w:right w:val="single" w:color="auto" w:sz="8" w:space="0"/>
            </w:tcBorders>
            <w:noWrap w:val="0"/>
            <w:vAlign w:val="center"/>
          </w:tcPr>
          <w:p>
            <w:pPr>
              <w:spacing w:line="560" w:lineRule="exact"/>
              <w:ind w:firstLine="280"/>
              <w:rPr>
                <w:rFonts w:hint="default" w:ascii="仿宋_GB2312" w:eastAsia="仿宋_GB2312"/>
                <w:sz w:val="24"/>
              </w:rPr>
            </w:pPr>
            <w:r>
              <w:rPr>
                <w:rFonts w:hint="eastAsia" w:ascii="仿宋_GB2312" w:eastAsia="仿宋_GB2312"/>
                <w:sz w:val="24"/>
              </w:rPr>
              <w:t>完成情况（请在</w:t>
            </w:r>
          </w:p>
          <w:p>
            <w:pPr>
              <w:spacing w:line="560" w:lineRule="exact"/>
              <w:ind w:firstLine="280"/>
              <w:rPr>
                <w:rFonts w:hint="default" w:ascii="仿宋_GB2312" w:eastAsia="仿宋_GB2312"/>
                <w:sz w:val="24"/>
              </w:rPr>
            </w:pPr>
            <w:r>
              <w:rPr>
                <w:rFonts w:hint="eastAsia" w:ascii="仿宋_GB2312" w:eastAsia="仿宋_GB2312"/>
                <w:sz w:val="32"/>
                <w:szCs w:val="32"/>
              </w:rPr>
              <w:t>（）</w:t>
            </w:r>
            <w:r>
              <w:rPr>
                <w:rFonts w:hint="eastAsia" w:ascii="仿宋_GB2312" w:eastAsia="仿宋_GB2312"/>
                <w:sz w:val="24"/>
              </w:rPr>
              <w:t>内划勾，并填</w:t>
            </w:r>
          </w:p>
          <w:p>
            <w:pPr>
              <w:spacing w:line="560" w:lineRule="exact"/>
              <w:jc w:val="center"/>
              <w:rPr>
                <w:rFonts w:hint="default" w:ascii="仿宋_GB2312" w:eastAsia="仿宋_GB2312"/>
                <w:sz w:val="24"/>
              </w:rPr>
            </w:pPr>
            <w:r>
              <w:rPr>
                <w:rFonts w:hint="eastAsia" w:ascii="仿宋_GB2312" w:eastAsia="仿宋_GB2312"/>
                <w:sz w:val="24"/>
              </w:rPr>
              <w:t>写相关数据）</w:t>
            </w:r>
          </w:p>
        </w:tc>
        <w:tc>
          <w:tcPr>
            <w:tcW w:w="7358" w:type="dxa"/>
            <w:gridSpan w:val="3"/>
            <w:tcBorders>
              <w:top w:val="single" w:color="auto" w:sz="8" w:space="0"/>
              <w:left w:val="single" w:color="auto" w:sz="8" w:space="0"/>
              <w:bottom w:val="single" w:color="auto" w:sz="8" w:space="0"/>
              <w:right w:val="thickThinSmallGap" w:color="auto" w:sz="12" w:space="0"/>
            </w:tcBorders>
            <w:noWrap w:val="0"/>
            <w:vAlign w:val="bottom"/>
          </w:tcPr>
          <w:p>
            <w:pPr>
              <w:spacing w:line="560" w:lineRule="exact"/>
              <w:ind w:right="560"/>
              <w:rPr>
                <w:rFonts w:hint="default" w:ascii="仿宋_GB2312" w:eastAsia="仿宋_GB2312"/>
                <w:sz w:val="24"/>
              </w:rPr>
            </w:pPr>
            <w:r>
              <w:rPr>
                <w:rFonts w:hint="eastAsia" w:ascii="仿宋_GB2312" w:eastAsia="仿宋_GB2312"/>
                <w:sz w:val="32"/>
                <w:szCs w:val="32"/>
              </w:rPr>
              <w:t>（ ）</w:t>
            </w:r>
            <w:r>
              <w:rPr>
                <w:rFonts w:hint="eastAsia" w:ascii="仿宋_GB2312" w:eastAsia="仿宋_GB2312"/>
                <w:sz w:val="24"/>
              </w:rPr>
              <w:t>已完成全年任务（具体完成时间为）</w:t>
            </w:r>
          </w:p>
          <w:p>
            <w:pPr>
              <w:spacing w:line="560" w:lineRule="exact"/>
              <w:ind w:right="1040"/>
              <w:rPr>
                <w:rFonts w:hint="default" w:ascii="仿宋_GB2312" w:eastAsia="仿宋_GB2312"/>
                <w:sz w:val="24"/>
              </w:rPr>
            </w:pPr>
            <w:r>
              <w:rPr>
                <w:rFonts w:hint="eastAsia" w:ascii="仿宋_GB2312" w:eastAsia="仿宋_GB2312"/>
                <w:sz w:val="32"/>
                <w:szCs w:val="32"/>
              </w:rPr>
              <w:t>（√）</w:t>
            </w:r>
            <w:r>
              <w:rPr>
                <w:rFonts w:hint="eastAsia" w:ascii="仿宋_GB2312" w:eastAsia="仿宋_GB2312"/>
                <w:sz w:val="24"/>
              </w:rPr>
              <w:t>本阶段进展顺利（已完成比率为</w:t>
            </w:r>
            <w:r>
              <w:rPr>
                <w:rFonts w:hint="eastAsia" w:ascii="仿宋_GB2312" w:eastAsia="仿宋_GB2312"/>
                <w:sz w:val="24"/>
                <w:lang w:val="en-US" w:eastAsia="zh-CN"/>
              </w:rPr>
              <w:t>50</w:t>
            </w:r>
            <w:r>
              <w:rPr>
                <w:rFonts w:hint="eastAsia" w:ascii="仿宋_GB2312" w:eastAsia="仿宋_GB2312"/>
                <w:sz w:val="24"/>
              </w:rPr>
              <w:t xml:space="preserve"> %）</w:t>
            </w:r>
          </w:p>
          <w:p>
            <w:pPr>
              <w:spacing w:line="560" w:lineRule="exact"/>
              <w:ind w:right="560"/>
              <w:rPr>
                <w:rFonts w:hint="default" w:ascii="仿宋_GB2312" w:eastAsia="仿宋_GB2312"/>
                <w:sz w:val="24"/>
              </w:rPr>
            </w:pPr>
            <w:r>
              <w:rPr>
                <w:rFonts w:hint="eastAsia" w:ascii="仿宋_GB2312" w:eastAsia="仿宋_GB2312"/>
                <w:sz w:val="32"/>
                <w:szCs w:val="32"/>
              </w:rPr>
              <w:t>（ ）</w:t>
            </w:r>
            <w:r>
              <w:rPr>
                <w:rFonts w:hint="eastAsia" w:ascii="仿宋_GB2312" w:eastAsia="仿宋_GB2312"/>
                <w:sz w:val="24"/>
              </w:rPr>
              <w:t>本阶段进展滞后（发现问题的时间为）</w:t>
            </w:r>
          </w:p>
          <w:p>
            <w:pPr>
              <w:spacing w:line="560" w:lineRule="exact"/>
              <w:rPr>
                <w:rFonts w:hint="default" w:ascii="仿宋_GB2312" w:eastAsia="仿宋_GB2312"/>
                <w:sz w:val="24"/>
              </w:rPr>
            </w:pPr>
            <w:r>
              <w:rPr>
                <w:rFonts w:hint="eastAsia" w:ascii="仿宋_GB2312" w:eastAsia="仿宋_GB2312"/>
                <w:sz w:val="32"/>
                <w:szCs w:val="32"/>
              </w:rPr>
              <w:t>（ ）</w:t>
            </w:r>
            <w:r>
              <w:rPr>
                <w:rFonts w:hint="eastAsia" w:ascii="仿宋_GB2312" w:eastAsia="仿宋_GB2312"/>
                <w:sz w:val="24"/>
              </w:rPr>
              <w:t>不能按计划完成全年任务（发现不能按时完成的时间为）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8" w:space="0"/>
            <w:insideV w:val="single" w:color="auto" w:sz="8" w:space="0"/>
          </w:tblBorders>
          <w:tblCellMar>
            <w:top w:w="0" w:type="dxa"/>
            <w:left w:w="108" w:type="dxa"/>
            <w:bottom w:w="0" w:type="dxa"/>
            <w:right w:w="108" w:type="dxa"/>
          </w:tblCellMar>
        </w:tblPrEx>
        <w:trPr>
          <w:trHeight w:val="1490" w:hRule="atLeast"/>
          <w:jc w:val="center"/>
        </w:trPr>
        <w:tc>
          <w:tcPr>
            <w:tcW w:w="2707" w:type="dxa"/>
            <w:gridSpan w:val="2"/>
            <w:tcBorders>
              <w:top w:val="single" w:color="auto" w:sz="8" w:space="0"/>
              <w:left w:val="thinThickSmallGap" w:color="auto" w:sz="12" w:space="0"/>
              <w:bottom w:val="single" w:color="auto" w:sz="8" w:space="0"/>
              <w:right w:val="single" w:color="auto" w:sz="8" w:space="0"/>
            </w:tcBorders>
            <w:noWrap w:val="0"/>
            <w:vAlign w:val="center"/>
          </w:tcPr>
          <w:p>
            <w:pPr>
              <w:spacing w:line="560" w:lineRule="exact"/>
              <w:jc w:val="center"/>
              <w:rPr>
                <w:rFonts w:hint="default" w:ascii="仿宋_GB2312" w:eastAsia="仿宋_GB2312"/>
                <w:sz w:val="28"/>
                <w:szCs w:val="28"/>
              </w:rPr>
            </w:pPr>
            <w:r>
              <w:rPr>
                <w:rFonts w:hint="eastAsia" w:ascii="仿宋_GB2312" w:eastAsia="仿宋_GB2312"/>
                <w:sz w:val="28"/>
                <w:szCs w:val="28"/>
              </w:rPr>
              <w:t>完成情况</w:t>
            </w:r>
          </w:p>
        </w:tc>
        <w:tc>
          <w:tcPr>
            <w:tcW w:w="7358" w:type="dxa"/>
            <w:gridSpan w:val="3"/>
            <w:tcBorders>
              <w:top w:val="single" w:color="auto" w:sz="8" w:space="0"/>
              <w:left w:val="single" w:color="auto" w:sz="8" w:space="0"/>
              <w:bottom w:val="single" w:color="auto" w:sz="8" w:space="0"/>
              <w:right w:val="thickThinSmallGap" w:color="auto" w:sz="12" w:space="0"/>
            </w:tcBorders>
            <w:noWrap w:val="0"/>
            <w:vAlign w:val="center"/>
          </w:tcPr>
          <w:p>
            <w:pPr>
              <w:spacing w:line="400" w:lineRule="exact"/>
              <w:rPr>
                <w:rFonts w:hint="eastAsia" w:ascii="仿宋_GB2312" w:hAnsi="Arial" w:eastAsia="仿宋_GB2312" w:cs="Arial"/>
                <w:color w:val="000000"/>
                <w:sz w:val="28"/>
                <w:szCs w:val="28"/>
                <w:lang w:val="en-US" w:eastAsia="zh-CN"/>
              </w:rPr>
            </w:pPr>
            <w:bookmarkStart w:id="0" w:name="progressContent"/>
            <w:bookmarkEnd w:id="0"/>
            <w:r>
              <w:rPr>
                <w:rFonts w:hint="eastAsia" w:ascii="仿宋_GB2312" w:hAnsi="Arial" w:eastAsia="仿宋_GB2312" w:cs="Arial"/>
                <w:color w:val="000000"/>
                <w:sz w:val="28"/>
                <w:szCs w:val="28"/>
                <w:lang w:val="en-US" w:eastAsia="zh-CN"/>
              </w:rPr>
              <w:t>1.按照</w:t>
            </w:r>
            <w:r>
              <w:rPr>
                <w:rFonts w:hint="eastAsia" w:ascii="仿宋_GB2312" w:hAnsi="Arial" w:eastAsia="仿宋_GB2312" w:cs="Arial"/>
                <w:color w:val="000000"/>
                <w:sz w:val="28"/>
                <w:szCs w:val="28"/>
                <w:lang w:eastAsia="zh-CN"/>
              </w:rPr>
              <w:t>密云水库水源保护工作考评细则、</w:t>
            </w:r>
            <w:r>
              <w:rPr>
                <w:rFonts w:hint="eastAsia" w:ascii="仿宋_GB2312" w:hAnsi="Arial" w:eastAsia="仿宋_GB2312" w:cs="Arial"/>
                <w:color w:val="000000"/>
                <w:sz w:val="28"/>
                <w:szCs w:val="28"/>
                <w:lang w:val="en-US" w:eastAsia="zh-CN"/>
              </w:rPr>
              <w:t>网格化管理办法、库区155米高程围网管护办法、社会第三方监管协议，对各镇网格化管理工作落实情况进行严格监督和检查。</w:t>
            </w:r>
          </w:p>
          <w:p>
            <w:pPr>
              <w:spacing w:line="400" w:lineRule="exact"/>
              <w:rPr>
                <w:rFonts w:hint="eastAsia" w:ascii="仿宋_GB2312" w:hAnsi="Arial" w:eastAsia="仿宋_GB2312" w:cs="Arial"/>
                <w:color w:val="000000"/>
                <w:sz w:val="28"/>
                <w:szCs w:val="28"/>
                <w:lang w:val="en-US" w:eastAsia="zh-CN"/>
              </w:rPr>
            </w:pPr>
            <w:r>
              <w:rPr>
                <w:rFonts w:hint="eastAsia" w:ascii="仿宋_GB2312" w:hAnsi="Arial" w:eastAsia="仿宋_GB2312" w:cs="Arial"/>
                <w:color w:val="000000"/>
                <w:sz w:val="28"/>
                <w:szCs w:val="28"/>
                <w:lang w:val="en-US" w:eastAsia="zh-CN"/>
              </w:rPr>
              <w:t>2.配合相关部门做好党政领导干部水源保护责任追究工作，及时发现和移交问题线索。</w:t>
            </w:r>
          </w:p>
          <w:p>
            <w:pPr>
              <w:wordWrap w:val="0"/>
              <w:spacing w:line="400" w:lineRule="exact"/>
              <w:rPr>
                <w:rFonts w:hint="eastAsia" w:ascii="仿宋_GB2312" w:eastAsia="仿宋_GB2312"/>
                <w:sz w:val="28"/>
                <w:szCs w:val="28"/>
              </w:rPr>
            </w:pPr>
            <w:r>
              <w:rPr>
                <w:rFonts w:hint="eastAsia" w:ascii="仿宋_GB2312" w:hAnsi="Arial" w:eastAsia="仿宋_GB2312" w:cs="Arial"/>
                <w:color w:val="000000"/>
                <w:sz w:val="28"/>
                <w:szCs w:val="28"/>
                <w:lang w:val="en-US" w:eastAsia="zh-CN"/>
              </w:rPr>
              <w:t>3.配合区审计局做好领导干部离任审计工作。</w:t>
            </w:r>
          </w:p>
        </w:tc>
      </w:tr>
    </w:tbl>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E6A07"/>
    <w:rsid w:val="7E9E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Times New Roman" w:hAnsi="Times New Roman" w:eastAsia="宋体" w:cs="Times New Roman"/>
      <w:kern w:val="2"/>
      <w:sz w:val="21"/>
      <w:szCs w:val="24"/>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2020-06-29T01:57:00Z</dcterms:created>
  <dc:creator>lll</dc:creator>
  <cp:lastModifiedBy>lll</cp:lastModifiedBy>
  <dcterms:modified xsi:type="dcterms:W3CDTF">2020-06-29T01:58:04Z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