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jc w:val="center"/>
        <w:outlineLvl w:val="9"/>
        <w:rPr>
          <w:rFonts w:hint="eastAsia"/>
          <w:b/>
          <w:color w:val="0000FF"/>
          <w:sz w:val="36"/>
          <w:szCs w:val="36"/>
        </w:rPr>
      </w:pPr>
      <w:r>
        <w:rPr>
          <w:rFonts w:hint="eastAsia"/>
          <w:b/>
          <w:color w:val="auto"/>
          <w:sz w:val="36"/>
          <w:szCs w:val="36"/>
          <w:lang w:eastAsia="zh-CN"/>
        </w:rPr>
        <w:t>202</w:t>
      </w:r>
      <w:r>
        <w:rPr>
          <w:rFonts w:hint="eastAsia"/>
          <w:b/>
          <w:color w:val="auto"/>
          <w:sz w:val="36"/>
          <w:szCs w:val="36"/>
          <w:lang w:val="en-US" w:eastAsia="zh-CN"/>
        </w:rPr>
        <w:t>6</w:t>
      </w:r>
      <w:r>
        <w:rPr>
          <w:rFonts w:hint="eastAsia"/>
          <w:b/>
          <w:color w:val="auto"/>
          <w:sz w:val="36"/>
          <w:szCs w:val="36"/>
          <w:lang w:eastAsia="zh-CN"/>
        </w:rPr>
        <w:t>年</w:t>
      </w:r>
      <w:r>
        <w:rPr>
          <w:rFonts w:hint="eastAsia"/>
          <w:b/>
          <w:color w:val="auto"/>
          <w:sz w:val="36"/>
          <w:szCs w:val="36"/>
          <w:lang w:val="en" w:eastAsia="zh-CN"/>
        </w:rPr>
        <w:t>1-</w:t>
      </w:r>
      <w:r>
        <w:rPr>
          <w:rFonts w:hint="eastAsia"/>
          <w:b/>
          <w:color w:val="auto"/>
          <w:sz w:val="36"/>
          <w:szCs w:val="36"/>
          <w:lang w:val="en-US" w:eastAsia="zh-CN"/>
        </w:rPr>
        <w:t>8</w:t>
      </w:r>
      <w:r>
        <w:rPr>
          <w:rFonts w:hint="eastAsia"/>
          <w:b/>
          <w:color w:val="auto"/>
          <w:sz w:val="36"/>
          <w:szCs w:val="36"/>
          <w:lang w:val="en" w:eastAsia="zh-CN"/>
        </w:rPr>
        <w:t>月</w:t>
      </w:r>
      <w:r>
        <w:rPr>
          <w:rFonts w:hint="eastAsia"/>
          <w:b/>
          <w:color w:val="auto"/>
          <w:sz w:val="36"/>
          <w:szCs w:val="36"/>
          <w:lang w:eastAsia="zh-CN"/>
        </w:rPr>
        <w:t>密云区</w:t>
      </w:r>
      <w:r>
        <w:rPr>
          <w:rFonts w:hint="eastAsia"/>
          <w:b/>
          <w:color w:val="auto"/>
          <w:sz w:val="36"/>
          <w:szCs w:val="36"/>
        </w:rPr>
        <w:t>规模以上文化产业</w:t>
      </w:r>
      <w:r>
        <w:rPr>
          <w:rFonts w:hint="eastAsia"/>
          <w:b/>
          <w:color w:val="auto"/>
          <w:sz w:val="36"/>
          <w:szCs w:val="36"/>
          <w:lang w:eastAsia="zh-CN"/>
        </w:rPr>
        <w:t>企业</w:t>
      </w:r>
      <w:r>
        <w:rPr>
          <w:rFonts w:hint="eastAsia"/>
          <w:b/>
          <w:color w:val="auto"/>
          <w:sz w:val="36"/>
          <w:szCs w:val="36"/>
        </w:rPr>
        <w:t>情况</w:t>
      </w:r>
    </w:p>
    <w:tbl>
      <w:tblPr>
        <w:tblStyle w:val="8"/>
        <w:tblW w:w="1344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537"/>
        <w:gridCol w:w="3053"/>
        <w:gridCol w:w="28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7" w:hRule="atLeast"/>
        </w:trPr>
        <w:tc>
          <w:tcPr>
            <w:tcW w:w="7537" w:type="dxa"/>
            <w:vMerge w:val="restart"/>
            <w:tcBorders>
              <w:top w:val="single" w:color="auto" w:sz="12" w:space="0"/>
              <w:left w:val="nil"/>
              <w:bottom w:val="single" w:color="auto" w:sz="2" w:space="0"/>
              <w:right w:val="single" w:color="auto" w:sz="2" w:space="0"/>
            </w:tcBorders>
            <w:tcMar>
              <w:left w:w="105" w:type="dxa"/>
              <w:right w:w="105" w:type="dxa"/>
            </w:tcMar>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微软雅黑" w:hAnsi="微软雅黑" w:eastAsia="微软雅黑" w:cs="微软雅黑"/>
                <w:color w:val="auto"/>
                <w:sz w:val="24"/>
                <w:szCs w:val="24"/>
              </w:rPr>
            </w:pPr>
            <w:r>
              <w:rPr>
                <w:rFonts w:hint="eastAsia" w:ascii="宋体" w:hAnsi="宋体" w:eastAsia="宋体" w:cs="宋体"/>
                <w:b w:val="0"/>
                <w:color w:val="auto"/>
                <w:sz w:val="24"/>
                <w:szCs w:val="24"/>
              </w:rPr>
              <w:t>项  目</w:t>
            </w:r>
          </w:p>
        </w:tc>
        <w:tc>
          <w:tcPr>
            <w:tcW w:w="5911" w:type="dxa"/>
            <w:gridSpan w:val="2"/>
            <w:tcBorders>
              <w:top w:val="single" w:color="auto" w:sz="12" w:space="0"/>
              <w:left w:val="single" w:color="auto" w:sz="2" w:space="0"/>
              <w:bottom w:val="single" w:color="auto" w:sz="2" w:space="0"/>
              <w:right w:val="nil"/>
            </w:tcBorders>
            <w:tcMar>
              <w:left w:w="105" w:type="dxa"/>
              <w:right w:w="105" w:type="dxa"/>
            </w:tcMar>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微软雅黑" w:hAnsi="微软雅黑" w:eastAsia="微软雅黑" w:cs="微软雅黑"/>
                <w:color w:val="auto"/>
                <w:sz w:val="24"/>
                <w:szCs w:val="24"/>
              </w:rPr>
            </w:pPr>
            <w:r>
              <w:rPr>
                <w:rFonts w:hint="eastAsia" w:ascii="宋体" w:hAnsi="宋体" w:eastAsia="宋体" w:cs="宋体"/>
                <w:b w:val="0"/>
                <w:color w:val="auto"/>
                <w:sz w:val="24"/>
                <w:szCs w:val="24"/>
                <w:lang w:eastAsia="zh-CN"/>
              </w:rPr>
              <w:t>营业收入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5" w:hRule="atLeast"/>
        </w:trPr>
        <w:tc>
          <w:tcPr>
            <w:tcW w:w="7537" w:type="dxa"/>
            <w:vMerge w:val="continue"/>
            <w:tcBorders>
              <w:top w:val="single" w:color="auto" w:sz="2" w:space="0"/>
              <w:left w:val="nil"/>
              <w:bottom w:val="single" w:color="auto" w:sz="2" w:space="0"/>
              <w:right w:val="single" w:color="auto" w:sz="2" w:space="0"/>
            </w:tcBorders>
            <w:tcMar>
              <w:left w:w="105" w:type="dxa"/>
              <w:right w:w="105" w:type="dxa"/>
            </w:tcMar>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9"/>
              <w:rPr>
                <w:rFonts w:hint="default" w:ascii="微软雅黑" w:hAnsi="微软雅黑" w:eastAsia="微软雅黑" w:cs="微软雅黑"/>
                <w:b w:val="0"/>
                <w:color w:val="auto"/>
                <w:sz w:val="24"/>
                <w:szCs w:val="24"/>
              </w:rPr>
            </w:pPr>
          </w:p>
        </w:tc>
        <w:tc>
          <w:tcPr>
            <w:tcW w:w="3053" w:type="dxa"/>
            <w:tcBorders>
              <w:top w:val="single" w:color="auto" w:sz="2" w:space="0"/>
              <w:left w:val="single" w:color="auto" w:sz="2" w:space="0"/>
              <w:bottom w:val="single" w:color="auto" w:sz="2" w:space="0"/>
              <w:right w:val="single" w:color="auto" w:sz="2" w:space="0"/>
            </w:tcBorders>
            <w:tcMar>
              <w:left w:w="105" w:type="dxa"/>
              <w:right w:w="105" w:type="dxa"/>
            </w:tcMar>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宋体"/>
                <w:b w:val="0"/>
                <w:color w:val="auto"/>
                <w:sz w:val="24"/>
                <w:szCs w:val="24"/>
              </w:rPr>
            </w:pPr>
            <w:r>
              <w:rPr>
                <w:rFonts w:hint="eastAsia" w:ascii="宋体" w:hAnsi="宋体" w:eastAsia="宋体" w:cs="宋体"/>
                <w:b w:val="0"/>
                <w:color w:val="auto"/>
                <w:sz w:val="24"/>
                <w:szCs w:val="24"/>
              </w:rPr>
              <w:t>202</w:t>
            </w:r>
            <w:r>
              <w:rPr>
                <w:rFonts w:hint="eastAsia" w:ascii="宋体" w:hAnsi="宋体" w:eastAsia="宋体" w:cs="宋体"/>
                <w:b w:val="0"/>
                <w:color w:val="auto"/>
                <w:sz w:val="24"/>
                <w:szCs w:val="24"/>
                <w:lang w:val="en-US" w:eastAsia="zh-CN"/>
              </w:rPr>
              <w:t>6</w:t>
            </w:r>
            <w:r>
              <w:rPr>
                <w:rFonts w:hint="eastAsia" w:ascii="宋体" w:hAnsi="宋体" w:eastAsia="宋体" w:cs="宋体"/>
                <w:b w:val="0"/>
                <w:color w:val="auto"/>
                <w:sz w:val="24"/>
                <w:szCs w:val="24"/>
              </w:rPr>
              <w:t>年1-</w:t>
            </w:r>
            <w:r>
              <w:rPr>
                <w:rFonts w:hint="eastAsia" w:ascii="宋体" w:hAnsi="宋体" w:eastAsia="宋体" w:cs="宋体"/>
                <w:b w:val="0"/>
                <w:color w:val="auto"/>
                <w:sz w:val="24"/>
                <w:szCs w:val="24"/>
                <w:lang w:val="en-US" w:eastAsia="zh-CN"/>
              </w:rPr>
              <w:t>8</w:t>
            </w:r>
            <w:r>
              <w:rPr>
                <w:rFonts w:hint="eastAsia" w:ascii="宋体" w:hAnsi="宋体" w:eastAsia="宋体" w:cs="宋体"/>
                <w:b w:val="0"/>
                <w:color w:val="auto"/>
                <w:sz w:val="24"/>
                <w:szCs w:val="24"/>
              </w:rPr>
              <w:t>月</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宋体"/>
                <w:b w:val="0"/>
                <w:color w:val="auto"/>
                <w:sz w:val="24"/>
                <w:szCs w:val="24"/>
                <w:lang w:eastAsia="zh-CN"/>
              </w:rPr>
            </w:pPr>
            <w:r>
              <w:rPr>
                <w:rFonts w:hint="eastAsia" w:ascii="宋体" w:hAnsi="宋体" w:eastAsia="宋体" w:cs="宋体"/>
                <w:b w:val="0"/>
                <w:color w:val="auto"/>
                <w:sz w:val="24"/>
                <w:szCs w:val="24"/>
                <w:lang w:eastAsia="zh-CN"/>
              </w:rPr>
              <w:t>（亿元）</w:t>
            </w:r>
          </w:p>
        </w:tc>
        <w:tc>
          <w:tcPr>
            <w:tcW w:w="2858" w:type="dxa"/>
            <w:tcBorders>
              <w:top w:val="single" w:color="auto" w:sz="2" w:space="0"/>
              <w:left w:val="single" w:color="auto" w:sz="2" w:space="0"/>
              <w:bottom w:val="single" w:color="auto" w:sz="2" w:space="0"/>
              <w:right w:val="nil"/>
            </w:tcBorders>
            <w:tcMar>
              <w:left w:w="105" w:type="dxa"/>
              <w:right w:w="105" w:type="dxa"/>
            </w:tcMar>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eastAsia" w:ascii="宋体" w:hAnsi="宋体" w:eastAsia="宋体" w:cs="宋体"/>
                <w:b w:val="0"/>
                <w:color w:val="auto"/>
                <w:sz w:val="24"/>
                <w:szCs w:val="24"/>
              </w:rPr>
            </w:pPr>
            <w:r>
              <w:rPr>
                <w:rFonts w:hint="eastAsia" w:ascii="宋体" w:hAnsi="宋体" w:eastAsia="宋体" w:cs="宋体"/>
                <w:b w:val="0"/>
                <w:color w:val="auto"/>
                <w:sz w:val="24"/>
                <w:szCs w:val="24"/>
              </w:rPr>
              <w:t>同比增长</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微软雅黑" w:hAnsi="微软雅黑" w:eastAsia="微软雅黑" w:cs="微软雅黑"/>
                <w:color w:val="auto"/>
                <w:sz w:val="24"/>
                <w:szCs w:val="24"/>
              </w:rPr>
            </w:pPr>
            <w:r>
              <w:rPr>
                <w:rFonts w:hint="eastAsia" w:ascii="宋体" w:hAnsi="宋体" w:eastAsia="宋体" w:cs="宋体"/>
                <w:b w:val="0"/>
                <w:color w:val="auto"/>
                <w:sz w:val="24"/>
                <w:szCs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7537" w:type="dxa"/>
            <w:tcBorders>
              <w:top w:val="single" w:color="auto" w:sz="2" w:space="0"/>
              <w:left w:val="nil"/>
              <w:bottom w:val="nil"/>
              <w:right w:val="single" w:color="auto" w:sz="2" w:space="0"/>
            </w:tcBorders>
            <w:tcMar>
              <w:left w:w="105" w:type="dxa"/>
              <w:right w:w="105" w:type="dxa"/>
            </w:tcMar>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outlineLvl w:val="9"/>
              <w:rPr>
                <w:rFonts w:hint="default" w:ascii="微软雅黑" w:hAnsi="微软雅黑" w:eastAsia="微软雅黑" w:cs="微软雅黑"/>
                <w:color w:val="auto"/>
                <w:sz w:val="24"/>
                <w:szCs w:val="24"/>
              </w:rPr>
            </w:pPr>
            <w:r>
              <w:rPr>
                <w:rStyle w:val="10"/>
                <w:rFonts w:hint="eastAsia" w:ascii="宋体" w:hAnsi="宋体" w:eastAsia="宋体" w:cs="宋体"/>
                <w:color w:val="auto"/>
                <w:sz w:val="24"/>
                <w:szCs w:val="24"/>
              </w:rPr>
              <w:t>合  </w:t>
            </w:r>
            <w:r>
              <w:rPr>
                <w:rStyle w:val="10"/>
                <w:rFonts w:hint="eastAsia" w:ascii="宋体" w:hAnsi="宋体" w:eastAsia="宋体" w:cs="宋体"/>
                <w:color w:val="auto"/>
                <w:sz w:val="24"/>
                <w:szCs w:val="24"/>
                <w:lang w:val="en-US" w:eastAsia="zh-CN"/>
              </w:rPr>
              <w:t xml:space="preserve">     </w:t>
            </w:r>
            <w:r>
              <w:rPr>
                <w:rStyle w:val="10"/>
                <w:rFonts w:hint="eastAsia" w:ascii="宋体" w:hAnsi="宋体" w:eastAsia="宋体" w:cs="宋体"/>
                <w:color w:val="auto"/>
                <w:sz w:val="24"/>
                <w:szCs w:val="24"/>
              </w:rPr>
              <w:t>计</w:t>
            </w:r>
          </w:p>
        </w:tc>
        <w:tc>
          <w:tcPr>
            <w:tcW w:w="3053" w:type="dxa"/>
            <w:tcBorders>
              <w:top w:val="single" w:color="auto" w:sz="2" w:space="0"/>
              <w:left w:val="single" w:color="auto" w:sz="2" w:space="0"/>
              <w:bottom w:val="nil"/>
              <w:right w:val="single" w:color="auto" w:sz="2" w:space="0"/>
            </w:tcBorders>
            <w:tcMar>
              <w:left w:w="105" w:type="dxa"/>
              <w:right w:w="105" w:type="dxa"/>
            </w:tcMar>
            <w:vAlign w:val="bottom"/>
          </w:tcPr>
          <w:p>
            <w:pPr>
              <w:keepNext w:val="0"/>
              <w:keepLines w:val="0"/>
              <w:widowControl/>
              <w:suppressLineNumbers w:val="0"/>
              <w:jc w:val="right"/>
              <w:textAlignment w:val="bottom"/>
              <w:rPr>
                <w:rFonts w:hint="eastAsia" w:ascii="宋体" w:hAnsi="宋体" w:eastAsia="宋体" w:cs="宋体"/>
                <w:b/>
                <w:bCs/>
                <w:color w:val="auto"/>
                <w:kern w:val="0"/>
                <w:sz w:val="24"/>
                <w:szCs w:val="24"/>
                <w:lang w:val="en-US" w:eastAsia="zh-CN" w:bidi="ar-SA"/>
              </w:rPr>
            </w:pPr>
            <w:r>
              <w:rPr>
                <w:rFonts w:hint="eastAsia" w:ascii="宋体" w:hAnsi="宋体" w:cs="宋体"/>
                <w:b/>
                <w:bCs/>
                <w:color w:val="auto"/>
                <w:kern w:val="0"/>
                <w:sz w:val="24"/>
                <w:szCs w:val="24"/>
                <w:lang w:val="en-US" w:eastAsia="zh-CN" w:bidi="ar-SA"/>
              </w:rPr>
              <w:t>46</w:t>
            </w:r>
            <w:r>
              <w:rPr>
                <w:rFonts w:hint="default" w:ascii="宋体" w:hAnsi="宋体" w:eastAsia="宋体" w:cs="宋体"/>
                <w:b/>
                <w:bCs/>
                <w:color w:val="auto"/>
                <w:kern w:val="0"/>
                <w:sz w:val="24"/>
                <w:szCs w:val="24"/>
                <w:lang w:val="en-US" w:eastAsia="zh-CN" w:bidi="ar-SA"/>
              </w:rPr>
              <w:t>.</w:t>
            </w:r>
            <w:r>
              <w:rPr>
                <w:rFonts w:hint="eastAsia" w:ascii="宋体" w:hAnsi="宋体" w:cs="宋体"/>
                <w:b/>
                <w:bCs/>
                <w:color w:val="auto"/>
                <w:kern w:val="0"/>
                <w:sz w:val="24"/>
                <w:szCs w:val="24"/>
                <w:lang w:val="en-US" w:eastAsia="zh-CN" w:bidi="ar-SA"/>
              </w:rPr>
              <w:t>6</w:t>
            </w:r>
            <w:r>
              <w:rPr>
                <w:rFonts w:hint="default" w:ascii="宋体" w:hAnsi="宋体" w:eastAsia="宋体" w:cs="宋体"/>
                <w:b/>
                <w:bCs/>
                <w:color w:val="auto"/>
                <w:kern w:val="0"/>
                <w:sz w:val="24"/>
                <w:szCs w:val="24"/>
                <w:lang w:val="en-US" w:eastAsia="zh-CN" w:bidi="ar-SA"/>
              </w:rPr>
              <w:t xml:space="preserve"> </w:t>
            </w:r>
          </w:p>
        </w:tc>
        <w:tc>
          <w:tcPr>
            <w:tcW w:w="2858" w:type="dxa"/>
            <w:tcBorders>
              <w:top w:val="single" w:color="auto" w:sz="2" w:space="0"/>
              <w:left w:val="single" w:color="auto" w:sz="2" w:space="0"/>
              <w:bottom w:val="nil"/>
              <w:right w:val="nil"/>
            </w:tcBorders>
            <w:tcMar>
              <w:left w:w="105" w:type="dxa"/>
              <w:right w:w="105" w:type="dxa"/>
            </w:tcMar>
            <w:vAlign w:val="bottom"/>
          </w:tcPr>
          <w:p>
            <w:pPr>
              <w:keepNext w:val="0"/>
              <w:keepLines w:val="0"/>
              <w:widowControl/>
              <w:suppressLineNumbers w:val="0"/>
              <w:jc w:val="right"/>
              <w:textAlignment w:val="bottom"/>
              <w:rPr>
                <w:rFonts w:hint="eastAsia" w:ascii="宋体" w:hAnsi="宋体" w:eastAsia="宋体" w:cs="宋体"/>
                <w:b/>
                <w:bCs/>
                <w:color w:val="auto"/>
                <w:kern w:val="0"/>
                <w:sz w:val="24"/>
                <w:szCs w:val="24"/>
                <w:lang w:val="en-US" w:eastAsia="zh-CN" w:bidi="ar-SA"/>
              </w:rPr>
            </w:pPr>
            <w:r>
              <w:rPr>
                <w:rFonts w:hint="eastAsia" w:ascii="宋体" w:hAnsi="宋体" w:cs="宋体"/>
                <w:b/>
                <w:bCs/>
                <w:color w:val="auto"/>
                <w:kern w:val="0"/>
                <w:sz w:val="24"/>
                <w:szCs w:val="24"/>
                <w:lang w:val="en-US" w:eastAsia="zh-CN" w:bidi="ar-SA"/>
              </w:rPr>
              <w:t>0.6</w:t>
            </w:r>
            <w:r>
              <w:rPr>
                <w:rFonts w:hint="default" w:ascii="宋体" w:hAnsi="宋体" w:eastAsia="宋体" w:cs="宋体"/>
                <w:b/>
                <w:bCs/>
                <w:color w:val="auto"/>
                <w:kern w:val="0"/>
                <w:sz w:val="24"/>
                <w:szCs w:val="24"/>
                <w:lang w:val="en-US" w:eastAsia="zh-CN" w:bidi="ar-SA"/>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7537" w:type="dxa"/>
            <w:tcBorders>
              <w:top w:val="nil"/>
              <w:left w:val="nil"/>
              <w:bottom w:val="nil"/>
              <w:right w:val="single" w:color="auto" w:sz="2" w:space="0"/>
            </w:tcBorders>
            <w:tcMar>
              <w:left w:w="105" w:type="dxa"/>
              <w:right w:w="105" w:type="dxa"/>
            </w:tcMar>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210"/>
              <w:jc w:val="left"/>
              <w:textAlignment w:val="auto"/>
              <w:outlineLvl w:val="9"/>
              <w:rPr>
                <w:rFonts w:hint="default" w:ascii="微软雅黑" w:hAnsi="微软雅黑" w:eastAsia="微软雅黑" w:cs="微软雅黑"/>
                <w:color w:val="auto"/>
                <w:sz w:val="24"/>
                <w:szCs w:val="24"/>
              </w:rPr>
            </w:pPr>
            <w:r>
              <w:rPr>
                <w:rFonts w:hint="eastAsia" w:ascii="宋体" w:hAnsi="宋体" w:eastAsia="宋体" w:cs="宋体"/>
                <w:b w:val="0"/>
                <w:color w:val="auto"/>
                <w:sz w:val="24"/>
                <w:szCs w:val="24"/>
              </w:rPr>
              <w:t>文化核心领域</w:t>
            </w:r>
          </w:p>
        </w:tc>
        <w:tc>
          <w:tcPr>
            <w:tcW w:w="3053" w:type="dxa"/>
            <w:tcBorders>
              <w:top w:val="nil"/>
              <w:left w:val="single" w:color="auto" w:sz="2" w:space="0"/>
              <w:bottom w:val="nil"/>
              <w:right w:val="single" w:color="auto" w:sz="2" w:space="0"/>
            </w:tcBorders>
            <w:tcMar>
              <w:left w:w="105" w:type="dxa"/>
              <w:right w:w="105" w:type="dxa"/>
            </w:tcMar>
            <w:vAlign w:val="bottom"/>
          </w:tcPr>
          <w:p>
            <w:pPr>
              <w:keepNext w:val="0"/>
              <w:keepLines w:val="0"/>
              <w:widowControl/>
              <w:suppressLineNumbers w:val="0"/>
              <w:jc w:val="right"/>
              <w:textAlignment w:val="bottom"/>
              <w:rPr>
                <w:rFonts w:hint="eastAsia" w:ascii="宋体" w:hAnsi="宋体" w:eastAsia="宋体" w:cs="宋体"/>
                <w:b w:val="0"/>
                <w:color w:val="auto"/>
                <w:kern w:val="0"/>
                <w:sz w:val="24"/>
                <w:szCs w:val="24"/>
                <w:lang w:val="en-US" w:eastAsia="zh-CN" w:bidi="ar-SA"/>
              </w:rPr>
            </w:pPr>
            <w:r>
              <w:rPr>
                <w:rFonts w:hint="eastAsia" w:ascii="宋体" w:hAnsi="宋体" w:cs="宋体"/>
                <w:b w:val="0"/>
                <w:color w:val="auto"/>
                <w:kern w:val="0"/>
                <w:sz w:val="24"/>
                <w:szCs w:val="24"/>
                <w:lang w:val="en-US" w:eastAsia="zh-CN" w:bidi="ar-SA"/>
              </w:rPr>
              <w:t>26.1</w:t>
            </w:r>
            <w:r>
              <w:rPr>
                <w:rFonts w:hint="default" w:ascii="宋体" w:hAnsi="宋体" w:eastAsia="宋体" w:cs="宋体"/>
                <w:b w:val="0"/>
                <w:color w:val="auto"/>
                <w:kern w:val="0"/>
                <w:sz w:val="24"/>
                <w:szCs w:val="24"/>
                <w:lang w:val="en-US" w:eastAsia="zh-CN" w:bidi="ar-SA"/>
              </w:rPr>
              <w:t xml:space="preserve"> </w:t>
            </w:r>
          </w:p>
        </w:tc>
        <w:tc>
          <w:tcPr>
            <w:tcW w:w="2858" w:type="dxa"/>
            <w:tcBorders>
              <w:top w:val="nil"/>
              <w:left w:val="single" w:color="auto" w:sz="2" w:space="0"/>
              <w:bottom w:val="nil"/>
              <w:right w:val="nil"/>
            </w:tcBorders>
            <w:tcMar>
              <w:left w:w="105" w:type="dxa"/>
              <w:right w:w="105" w:type="dxa"/>
            </w:tcMar>
            <w:vAlign w:val="bottom"/>
          </w:tcPr>
          <w:p>
            <w:pPr>
              <w:keepNext w:val="0"/>
              <w:keepLines w:val="0"/>
              <w:widowControl/>
              <w:suppressLineNumbers w:val="0"/>
              <w:jc w:val="right"/>
              <w:textAlignment w:val="bottom"/>
              <w:rPr>
                <w:rFonts w:hint="eastAsia" w:ascii="宋体" w:hAnsi="宋体" w:eastAsia="宋体" w:cs="宋体"/>
                <w:b w:val="0"/>
                <w:color w:val="auto"/>
                <w:kern w:val="0"/>
                <w:sz w:val="24"/>
                <w:szCs w:val="24"/>
                <w:lang w:val="en-US" w:eastAsia="zh-CN" w:bidi="ar-SA"/>
              </w:rPr>
            </w:pPr>
            <w:r>
              <w:rPr>
                <w:rFonts w:hint="default" w:ascii="宋体" w:hAnsi="宋体" w:eastAsia="宋体" w:cs="宋体"/>
                <w:b w:val="0"/>
                <w:color w:val="auto"/>
                <w:kern w:val="0"/>
                <w:sz w:val="24"/>
                <w:szCs w:val="24"/>
                <w:lang w:val="en-US" w:eastAsia="zh-CN" w:bidi="ar-SA"/>
              </w:rPr>
              <w:t>-</w:t>
            </w:r>
            <w:r>
              <w:rPr>
                <w:rFonts w:hint="eastAsia" w:ascii="宋体" w:hAnsi="宋体" w:cs="宋体"/>
                <w:b w:val="0"/>
                <w:color w:val="auto"/>
                <w:kern w:val="0"/>
                <w:sz w:val="24"/>
                <w:szCs w:val="24"/>
                <w:lang w:val="en-US" w:eastAsia="zh-CN" w:bidi="ar-SA"/>
              </w:rPr>
              <w:t>5.2</w:t>
            </w:r>
            <w:r>
              <w:rPr>
                <w:rFonts w:hint="default" w:ascii="宋体" w:hAnsi="宋体" w:eastAsia="宋体" w:cs="宋体"/>
                <w:b w:val="0"/>
                <w:color w:val="auto"/>
                <w:kern w:val="0"/>
                <w:sz w:val="24"/>
                <w:szCs w:val="24"/>
                <w:lang w:val="en-US" w:eastAsia="zh-CN" w:bidi="ar-SA"/>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trPr>
        <w:tc>
          <w:tcPr>
            <w:tcW w:w="7537" w:type="dxa"/>
            <w:tcBorders>
              <w:top w:val="nil"/>
              <w:left w:val="nil"/>
              <w:bottom w:val="single" w:color="auto" w:sz="12" w:space="0"/>
              <w:right w:val="single" w:color="auto" w:sz="2" w:space="0"/>
            </w:tcBorders>
            <w:tcMar>
              <w:left w:w="105" w:type="dxa"/>
              <w:right w:w="105" w:type="dxa"/>
            </w:tcMar>
            <w:vAlign w:val="center"/>
          </w:tcPr>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210"/>
              <w:jc w:val="left"/>
              <w:textAlignment w:val="auto"/>
              <w:outlineLvl w:val="9"/>
              <w:rPr>
                <w:rFonts w:hint="default" w:ascii="微软雅黑" w:hAnsi="微软雅黑" w:eastAsia="微软雅黑" w:cs="微软雅黑"/>
                <w:color w:val="auto"/>
                <w:sz w:val="24"/>
                <w:szCs w:val="24"/>
              </w:rPr>
            </w:pPr>
            <w:r>
              <w:rPr>
                <w:rFonts w:hint="eastAsia" w:ascii="宋体" w:hAnsi="宋体" w:eastAsia="宋体" w:cs="宋体"/>
                <w:b w:val="0"/>
                <w:color w:val="auto"/>
                <w:sz w:val="24"/>
                <w:szCs w:val="24"/>
              </w:rPr>
              <w:t>文化相关领域</w:t>
            </w:r>
          </w:p>
        </w:tc>
        <w:tc>
          <w:tcPr>
            <w:tcW w:w="3053" w:type="dxa"/>
            <w:tcBorders>
              <w:top w:val="nil"/>
              <w:left w:val="single" w:color="auto" w:sz="2" w:space="0"/>
              <w:bottom w:val="single" w:color="auto" w:sz="12" w:space="0"/>
              <w:right w:val="single" w:color="auto" w:sz="2" w:space="0"/>
            </w:tcBorders>
            <w:tcMar>
              <w:left w:w="105" w:type="dxa"/>
              <w:right w:w="105" w:type="dxa"/>
            </w:tcMar>
            <w:vAlign w:val="bottom"/>
          </w:tcPr>
          <w:p>
            <w:pPr>
              <w:keepNext w:val="0"/>
              <w:keepLines w:val="0"/>
              <w:widowControl/>
              <w:suppressLineNumbers w:val="0"/>
              <w:jc w:val="right"/>
              <w:textAlignment w:val="bottom"/>
              <w:rPr>
                <w:rFonts w:hint="eastAsia" w:ascii="宋体" w:hAnsi="宋体" w:eastAsia="宋体" w:cs="宋体"/>
                <w:b w:val="0"/>
                <w:color w:val="auto"/>
                <w:kern w:val="0"/>
                <w:sz w:val="24"/>
                <w:szCs w:val="24"/>
                <w:lang w:val="en-US" w:eastAsia="zh-CN" w:bidi="ar-SA"/>
              </w:rPr>
            </w:pPr>
            <w:r>
              <w:rPr>
                <w:rFonts w:hint="eastAsia" w:ascii="宋体" w:hAnsi="宋体" w:cs="宋体"/>
                <w:b w:val="0"/>
                <w:color w:val="auto"/>
                <w:kern w:val="0"/>
                <w:sz w:val="24"/>
                <w:szCs w:val="24"/>
                <w:lang w:val="en-US" w:eastAsia="zh-CN" w:bidi="ar-SA"/>
              </w:rPr>
              <w:t>20.5</w:t>
            </w:r>
            <w:r>
              <w:rPr>
                <w:rFonts w:hint="default" w:ascii="宋体" w:hAnsi="宋体" w:eastAsia="宋体" w:cs="宋体"/>
                <w:b w:val="0"/>
                <w:color w:val="auto"/>
                <w:kern w:val="0"/>
                <w:sz w:val="24"/>
                <w:szCs w:val="24"/>
                <w:lang w:val="en-US" w:eastAsia="zh-CN" w:bidi="ar-SA"/>
              </w:rPr>
              <w:t xml:space="preserve"> </w:t>
            </w:r>
          </w:p>
        </w:tc>
        <w:tc>
          <w:tcPr>
            <w:tcW w:w="2858" w:type="dxa"/>
            <w:tcBorders>
              <w:top w:val="nil"/>
              <w:left w:val="single" w:color="auto" w:sz="2" w:space="0"/>
              <w:bottom w:val="single" w:color="auto" w:sz="12" w:space="0"/>
              <w:right w:val="nil"/>
            </w:tcBorders>
            <w:tcMar>
              <w:left w:w="105" w:type="dxa"/>
              <w:right w:w="105" w:type="dxa"/>
            </w:tcMar>
            <w:vAlign w:val="bottom"/>
          </w:tcPr>
          <w:p>
            <w:pPr>
              <w:keepNext w:val="0"/>
              <w:keepLines w:val="0"/>
              <w:widowControl/>
              <w:suppressLineNumbers w:val="0"/>
              <w:jc w:val="right"/>
              <w:textAlignment w:val="bottom"/>
              <w:rPr>
                <w:rFonts w:hint="eastAsia" w:ascii="宋体" w:hAnsi="宋体" w:eastAsia="宋体" w:cs="宋体"/>
                <w:b w:val="0"/>
                <w:color w:val="auto"/>
                <w:kern w:val="0"/>
                <w:sz w:val="24"/>
                <w:szCs w:val="24"/>
                <w:lang w:val="en-US" w:eastAsia="zh-CN" w:bidi="ar-SA"/>
              </w:rPr>
            </w:pPr>
            <w:r>
              <w:rPr>
                <w:rFonts w:hint="eastAsia" w:ascii="宋体" w:hAnsi="宋体" w:cs="宋体"/>
                <w:b w:val="0"/>
                <w:color w:val="auto"/>
                <w:kern w:val="0"/>
                <w:sz w:val="24"/>
                <w:szCs w:val="24"/>
                <w:lang w:val="en-US" w:eastAsia="zh-CN" w:bidi="ar-SA"/>
              </w:rPr>
              <w:t>9.0</w:t>
            </w:r>
            <w:r>
              <w:rPr>
                <w:rFonts w:hint="default" w:ascii="宋体" w:hAnsi="宋体" w:eastAsia="宋体" w:cs="宋体"/>
                <w:b w:val="0"/>
                <w:color w:val="auto"/>
                <w:kern w:val="0"/>
                <w:sz w:val="24"/>
                <w:szCs w:val="24"/>
                <w:lang w:val="en-US" w:eastAsia="zh-CN" w:bidi="ar-SA"/>
              </w:rPr>
              <w:t xml:space="preserve"> </w:t>
            </w:r>
          </w:p>
        </w:tc>
      </w:tr>
    </w:tbl>
    <w:p>
      <w:pPr>
        <w:keepNext w:val="0"/>
        <w:keepLines w:val="0"/>
        <w:pageBreakBefore w:val="0"/>
        <w:kinsoku/>
        <w:wordWrap/>
        <w:overflowPunct/>
        <w:topLinePunct w:val="0"/>
        <w:autoSpaceDE/>
        <w:autoSpaceDN/>
        <w:bidi w:val="0"/>
        <w:adjustRightInd w:val="0"/>
        <w:snapToGrid w:val="0"/>
        <w:jc w:val="left"/>
        <w:outlineLvl w:val="9"/>
        <w:rPr>
          <w:rFonts w:hint="eastAsia" w:ascii="楷体_GB2312" w:hAnsi="宋体" w:eastAsia="楷体_GB2312" w:cs="宋体"/>
          <w:bCs/>
          <w:sz w:val="24"/>
        </w:rPr>
      </w:pPr>
      <w:r>
        <w:rPr>
          <w:rFonts w:hint="eastAsia" w:ascii="楷体_GB2312" w:hAnsi="宋体" w:eastAsia="楷体_GB2312" w:cs="宋体"/>
          <w:bCs/>
          <w:sz w:val="24"/>
        </w:rPr>
        <w:t>注释：</w:t>
      </w:r>
    </w:p>
    <w:p>
      <w:pPr>
        <w:keepNext w:val="0"/>
        <w:keepLines w:val="0"/>
        <w:pageBreakBefore w:val="0"/>
        <w:widowControl w:val="0"/>
        <w:kinsoku/>
        <w:wordWrap/>
        <w:overflowPunct/>
        <w:topLinePunct w:val="0"/>
        <w:autoSpaceDE/>
        <w:autoSpaceDN/>
        <w:bidi w:val="0"/>
        <w:adjustRightInd w:val="0"/>
        <w:snapToGrid w:val="0"/>
        <w:ind w:firstLine="482" w:firstLineChars="200"/>
        <w:jc w:val="left"/>
        <w:textAlignment w:val="auto"/>
        <w:outlineLvl w:val="9"/>
        <w:rPr>
          <w:rFonts w:hint="eastAsia" w:ascii="楷体_GB2312" w:hAnsi="宋体" w:eastAsia="楷体_GB2312" w:cs="宋体"/>
          <w:kern w:val="2"/>
          <w:sz w:val="24"/>
          <w:szCs w:val="24"/>
          <w:lang w:val="en-US" w:eastAsia="zh-CN" w:bidi="ar-SA"/>
        </w:rPr>
      </w:pPr>
      <w:r>
        <w:rPr>
          <w:rFonts w:hint="eastAsia" w:ascii="楷体_GB2312" w:hAnsi="宋体" w:eastAsia="楷体_GB2312" w:cs="宋体"/>
          <w:b/>
          <w:bCs/>
          <w:sz w:val="24"/>
          <w:lang w:eastAsia="zh-CN"/>
        </w:rPr>
        <w:t>一、</w:t>
      </w:r>
      <w:r>
        <w:rPr>
          <w:rFonts w:hint="eastAsia" w:ascii="楷体_GB2312" w:hAnsi="宋体" w:eastAsia="楷体_GB2312" w:cs="宋体"/>
          <w:b/>
          <w:bCs/>
          <w:sz w:val="24"/>
        </w:rPr>
        <w:t>统计范围：</w:t>
      </w:r>
      <w:r>
        <w:rPr>
          <w:rFonts w:hint="eastAsia" w:ascii="楷体_GB2312" w:hAnsi="宋体" w:eastAsia="楷体_GB2312" w:cs="宋体"/>
          <w:kern w:val="2"/>
          <w:sz w:val="24"/>
          <w:szCs w:val="24"/>
          <w:lang w:val="en-US" w:eastAsia="zh-CN" w:bidi="ar-SA"/>
        </w:rPr>
        <w:t>本表数据统计范围为规模以上文化产业</w:t>
      </w:r>
      <w:r>
        <w:rPr>
          <w:rFonts w:hint="eastAsia" w:ascii="楷体_GB2312" w:hAnsi="宋体" w:eastAsia="楷体_GB2312" w:cs="宋体"/>
          <w:color w:val="auto"/>
          <w:kern w:val="2"/>
          <w:sz w:val="24"/>
          <w:szCs w:val="24"/>
          <w:lang w:val="en-US" w:eastAsia="zh-CN" w:bidi="ar-SA"/>
        </w:rPr>
        <w:t>企业</w:t>
      </w:r>
      <w:r>
        <w:rPr>
          <w:rFonts w:hint="eastAsia" w:ascii="楷体_GB2312" w:hAnsi="宋体" w:eastAsia="楷体_GB2312" w:cs="宋体"/>
          <w:kern w:val="2"/>
          <w:sz w:val="24"/>
          <w:szCs w:val="24"/>
          <w:lang w:val="en-US" w:eastAsia="zh-CN" w:bidi="ar-SA"/>
        </w:rPr>
        <w:t>单位。</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kern w:val="2"/>
          <w:sz w:val="24"/>
          <w:szCs w:val="24"/>
          <w:lang w:val="en-US" w:eastAsia="zh-CN" w:bidi="ar-SA"/>
        </w:rPr>
        <w:t>１.</w:t>
      </w:r>
      <w:r>
        <w:rPr>
          <w:rFonts w:hint="eastAsia" w:ascii="楷体_GB2312" w:hAnsi="宋体" w:eastAsia="楷体_GB2312" w:cs="宋体"/>
          <w:sz w:val="24"/>
          <w:lang w:val="en-US" w:eastAsia="zh-CN"/>
        </w:rPr>
        <w:t>文化产业：执行国家统计局印发的《文化及相关产业分类（2018）》。文化及相关产业内涵具体包括：（1）以文化为核心内容，为直接满足人们的精神需要而进行的创作、制造、传播、展示等文化产品（包括货物和服务）的生产活动。具体包括新闻信息服务、内容创作生产、创意设计服务、文化传播渠道、文化投资运营和文化娱乐休闲服务等活动。（2）为实现文化产品的生产活动所需的文化辅助生产和中介服务、文化装备生产和文化消费终端生产（包括制造和销售）等活动。</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2.规模以上的标准具体为：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（1）年主营业务收入2000万元及以上的工业法人单位。</w:t>
      </w:r>
      <w:bookmarkStart w:id="0" w:name="_GoBack"/>
      <w:bookmarkEnd w:id="0"/>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（2）年主营业务收入2000万元及以上的批发业法人单位。</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（3）年主营业务收入500万元及以上的零售业法人单位。</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（4）年营业收入2000万元及以上的交通运输、仓储和邮政业，信息传输、软件和信息技术服务业，水利、环境和公共设施管理业服务业企业法人单位。</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（5）年营业收入1000万元及以上的租赁和商务服务业，科学研究和技术服务业，教育服务业企业法人单位。</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（6）年营业收入500万元及以上的居民服务、修理和其他服务业，文化、体育和娱乐业服务业企业法人单位。</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3.本表数据按国民经济行业分类（GB/T 4754-2017）标准汇总。</w:t>
      </w:r>
    </w:p>
    <w:p>
      <w:pPr>
        <w:keepNext w:val="0"/>
        <w:keepLines w:val="0"/>
        <w:pageBreakBefore w:val="0"/>
        <w:widowControl w:val="0"/>
        <w:kinsoku/>
        <w:wordWrap/>
        <w:overflowPunct/>
        <w:topLinePunct w:val="0"/>
        <w:autoSpaceDE/>
        <w:autoSpaceDN/>
        <w:bidi w:val="0"/>
        <w:adjustRightInd w:val="0"/>
        <w:snapToGrid w:val="0"/>
        <w:ind w:firstLine="482" w:firstLineChars="200"/>
        <w:jc w:val="left"/>
        <w:textAlignment w:val="auto"/>
        <w:outlineLvl w:val="9"/>
        <w:rPr>
          <w:rFonts w:hint="eastAsia" w:ascii="楷体_GB2312" w:hAnsi="宋体" w:eastAsia="楷体_GB2312" w:cs="宋体"/>
          <w:sz w:val="24"/>
          <w:lang w:val="en-US" w:eastAsia="zh-CN"/>
        </w:rPr>
      </w:pPr>
      <w:r>
        <w:rPr>
          <w:rFonts w:hint="eastAsia" w:ascii="楷体_GB2312" w:hAnsi="宋体" w:eastAsia="楷体_GB2312" w:cs="宋体"/>
          <w:b/>
          <w:bCs/>
          <w:sz w:val="24"/>
          <w:lang w:eastAsia="zh-CN"/>
        </w:rPr>
        <w:t>二、</w:t>
      </w:r>
      <w:r>
        <w:rPr>
          <w:rFonts w:hint="eastAsia" w:ascii="楷体_GB2312" w:hAnsi="宋体" w:eastAsia="楷体_GB2312" w:cs="宋体"/>
          <w:b/>
          <w:bCs/>
          <w:sz w:val="24"/>
          <w:szCs w:val="24"/>
        </w:rPr>
        <w:t>主要统计指标解释</w:t>
      </w:r>
      <w:r>
        <w:rPr>
          <w:rFonts w:hint="eastAsia" w:ascii="楷体_GB2312" w:hAnsi="宋体" w:eastAsia="楷体_GB2312" w:cs="宋体"/>
          <w:bCs/>
          <w:sz w:val="24"/>
          <w:szCs w:val="24"/>
        </w:rPr>
        <w:t>：</w:t>
      </w:r>
      <w:r>
        <w:rPr>
          <w:rFonts w:hint="eastAsia" w:ascii="楷体_GB2312" w:hAnsi="宋体" w:eastAsia="楷体_GB2312" w:cs="宋体"/>
          <w:sz w:val="24"/>
          <w:lang w:val="en-US" w:eastAsia="zh-CN"/>
        </w:rPr>
        <w:t>营业收入：指企业生产经营活动形成的经济利益流入，包括主营业务收入和其他业务收入。</w:t>
      </w:r>
    </w:p>
    <w:p>
      <w:pPr>
        <w:keepNext w:val="0"/>
        <w:keepLines w:val="0"/>
        <w:pageBreakBefore w:val="0"/>
        <w:widowControl w:val="0"/>
        <w:kinsoku/>
        <w:wordWrap/>
        <w:overflowPunct/>
        <w:topLinePunct w:val="0"/>
        <w:autoSpaceDE/>
        <w:autoSpaceDN/>
        <w:bidi w:val="0"/>
        <w:ind w:firstLine="482" w:firstLineChars="200"/>
        <w:textAlignment w:val="auto"/>
        <w:rPr>
          <w:rFonts w:hint="eastAsia" w:ascii="楷体_GB2312" w:hAnsi="宋体" w:eastAsia="楷体_GB2312" w:cs="宋体"/>
          <w:bCs/>
          <w:sz w:val="24"/>
          <w:szCs w:val="24"/>
        </w:rPr>
      </w:pPr>
      <w:r>
        <w:rPr>
          <w:rFonts w:hint="eastAsia" w:ascii="楷体_GB2312" w:hAnsi="宋体" w:eastAsia="楷体_GB2312" w:cs="宋体"/>
          <w:b/>
          <w:bCs/>
          <w:sz w:val="24"/>
          <w:lang w:val="en-US" w:eastAsia="zh-CN"/>
        </w:rPr>
        <w:t>三、相关说明</w:t>
      </w:r>
      <w:r>
        <w:rPr>
          <w:rFonts w:hint="eastAsia" w:ascii="楷体_GB2312" w:hAnsi="宋体" w:eastAsia="楷体_GB2312" w:cs="宋体"/>
          <w:bCs/>
          <w:sz w:val="24"/>
          <w:szCs w:val="24"/>
        </w:rPr>
        <w:t>：</w:t>
      </w:r>
    </w:p>
    <w:p>
      <w:pPr>
        <w:keepNext w:val="0"/>
        <w:keepLines w:val="0"/>
        <w:pageBreakBefore w:val="0"/>
        <w:widowControl w:val="0"/>
        <w:kinsoku/>
        <w:wordWrap/>
        <w:overflowPunct/>
        <w:topLinePunct w:val="0"/>
        <w:autoSpaceDE/>
        <w:autoSpaceDN/>
        <w:bidi w:val="0"/>
        <w:ind w:firstLine="480" w:firstLineChars="200"/>
        <w:textAlignment w:val="auto"/>
        <w:rPr>
          <w:rFonts w:hint="eastAsia" w:ascii="楷体_GB2312" w:hAnsi="宋体" w:eastAsia="楷体_GB2312" w:cs="宋体"/>
          <w:sz w:val="24"/>
          <w:lang w:val="en-US" w:eastAsia="zh-CN"/>
        </w:rPr>
      </w:pPr>
      <w:r>
        <w:rPr>
          <w:rFonts w:hint="eastAsia" w:ascii="楷体_GB2312" w:hAnsi="宋体" w:eastAsia="楷体_GB2312" w:cs="宋体"/>
          <w:bCs/>
          <w:sz w:val="24"/>
          <w:szCs w:val="24"/>
          <w:lang w:val="en-US" w:eastAsia="zh-CN"/>
        </w:rPr>
        <w:t>1.</w:t>
      </w:r>
      <w:r>
        <w:rPr>
          <w:rFonts w:hint="eastAsia" w:ascii="楷体_GB2312" w:hAnsi="宋体" w:eastAsia="楷体_GB2312" w:cs="宋体"/>
          <w:sz w:val="24"/>
          <w:lang w:val="en-US" w:eastAsia="zh-CN"/>
        </w:rPr>
        <w:t>同比增长是利用统计范围内调查单位填报的相关指标“1-本月”以及“上年同期”数据计算取得。由于规模以上文化及相关产业企业范围每年发生变化，为保证本年数据与上年可比，计算规模以上文化产业企业营业收入等指标同比增长速度所采用的同期数与本期的企业统计范围相一致，和上年公布的数据存在口径差异。主要原因是每年有部分企业达到规模以上标准纳入调查范围，同时也有部分企业因规模变小而退出调查范围，还有新建投产、破产、注（吊）销企业的影响。</w:t>
      </w:r>
    </w:p>
    <w:p>
      <w:pPr>
        <w:keepNext w:val="0"/>
        <w:keepLines w:val="0"/>
        <w:pageBreakBefore w:val="0"/>
        <w:widowControl w:val="0"/>
        <w:kinsoku/>
        <w:wordWrap/>
        <w:overflowPunct/>
        <w:topLinePunct w:val="0"/>
        <w:autoSpaceDE/>
        <w:autoSpaceDN/>
        <w:bidi w:val="0"/>
        <w:ind w:firstLine="480" w:firstLineChars="200"/>
        <w:textAlignment w:val="auto"/>
        <w:rPr>
          <w:rFonts w:hint="eastAsia" w:ascii="楷体_GB2312" w:hAnsi="宋体" w:eastAsia="楷体_GB2312" w:cs="宋体"/>
          <w:sz w:val="24"/>
          <w:lang w:val="en-US" w:eastAsia="zh-CN"/>
        </w:rPr>
      </w:pPr>
      <w:r>
        <w:rPr>
          <w:rFonts w:hint="eastAsia" w:ascii="楷体_GB2312" w:hAnsi="宋体" w:eastAsia="楷体_GB2312" w:cs="宋体"/>
          <w:sz w:val="24"/>
          <w:lang w:val="en-US" w:eastAsia="zh-CN"/>
        </w:rPr>
        <w:t>2.部分数据因四舍五入，存在总计与分项合计不等的情况。</w:t>
      </w:r>
    </w:p>
    <w:sectPr>
      <w:headerReference r:id="rId3" w:type="default"/>
      <w:pgSz w:w="16838" w:h="11906" w:orient="landscape"/>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
    <w:altName w:val="Segoe Print"/>
    <w:panose1 w:val="00000000000000000000"/>
    <w:charset w:val="00"/>
    <w:family w:val="auto"/>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5EF1"/>
    <w:rsid w:val="01DE4569"/>
    <w:rsid w:val="01EA0DDF"/>
    <w:rsid w:val="021113C5"/>
    <w:rsid w:val="02383BF7"/>
    <w:rsid w:val="04B3291D"/>
    <w:rsid w:val="05144DE3"/>
    <w:rsid w:val="056063CD"/>
    <w:rsid w:val="0638629E"/>
    <w:rsid w:val="065A435E"/>
    <w:rsid w:val="0693162F"/>
    <w:rsid w:val="06BD48AA"/>
    <w:rsid w:val="08FE4A5D"/>
    <w:rsid w:val="09350139"/>
    <w:rsid w:val="0979482C"/>
    <w:rsid w:val="09B712A8"/>
    <w:rsid w:val="0A222482"/>
    <w:rsid w:val="0AC36A44"/>
    <w:rsid w:val="0B55531A"/>
    <w:rsid w:val="0B7B2A58"/>
    <w:rsid w:val="0BD8075B"/>
    <w:rsid w:val="0BFA39C5"/>
    <w:rsid w:val="0C683C8D"/>
    <w:rsid w:val="0CA36702"/>
    <w:rsid w:val="0D232F91"/>
    <w:rsid w:val="0E4220D5"/>
    <w:rsid w:val="0E927B34"/>
    <w:rsid w:val="0EDD0097"/>
    <w:rsid w:val="103E310E"/>
    <w:rsid w:val="112500D2"/>
    <w:rsid w:val="118634F1"/>
    <w:rsid w:val="12917D5A"/>
    <w:rsid w:val="13BA65BA"/>
    <w:rsid w:val="13C96186"/>
    <w:rsid w:val="13DB96C9"/>
    <w:rsid w:val="13FE3336"/>
    <w:rsid w:val="141623DE"/>
    <w:rsid w:val="163459DA"/>
    <w:rsid w:val="169355EC"/>
    <w:rsid w:val="172B5C42"/>
    <w:rsid w:val="176149FE"/>
    <w:rsid w:val="19715261"/>
    <w:rsid w:val="1A21665C"/>
    <w:rsid w:val="1AD30A1E"/>
    <w:rsid w:val="1AD8402B"/>
    <w:rsid w:val="1B0B13DC"/>
    <w:rsid w:val="1B122FB6"/>
    <w:rsid w:val="1BCD0481"/>
    <w:rsid w:val="1C0E5505"/>
    <w:rsid w:val="1C276350"/>
    <w:rsid w:val="1C56369B"/>
    <w:rsid w:val="1CD46D9A"/>
    <w:rsid w:val="1CE81CB4"/>
    <w:rsid w:val="1D8D5B77"/>
    <w:rsid w:val="1D98136E"/>
    <w:rsid w:val="1DFB1785"/>
    <w:rsid w:val="1E693C23"/>
    <w:rsid w:val="1EB84662"/>
    <w:rsid w:val="1FFF4CB5"/>
    <w:rsid w:val="21382369"/>
    <w:rsid w:val="21784A05"/>
    <w:rsid w:val="22DB4243"/>
    <w:rsid w:val="23543D99"/>
    <w:rsid w:val="236F1C12"/>
    <w:rsid w:val="248C2EED"/>
    <w:rsid w:val="2559167C"/>
    <w:rsid w:val="256C6363"/>
    <w:rsid w:val="25A15611"/>
    <w:rsid w:val="25E84811"/>
    <w:rsid w:val="26A37460"/>
    <w:rsid w:val="27174A9F"/>
    <w:rsid w:val="285E57AA"/>
    <w:rsid w:val="28DD1ED1"/>
    <w:rsid w:val="29303B10"/>
    <w:rsid w:val="29763C32"/>
    <w:rsid w:val="29AD74D8"/>
    <w:rsid w:val="29FB5780"/>
    <w:rsid w:val="2A94053E"/>
    <w:rsid w:val="2BEF4705"/>
    <w:rsid w:val="2C644628"/>
    <w:rsid w:val="2C6C1E73"/>
    <w:rsid w:val="2D076D14"/>
    <w:rsid w:val="2E29008C"/>
    <w:rsid w:val="2E2B4EE6"/>
    <w:rsid w:val="2E3301F9"/>
    <w:rsid w:val="2E6C7B7D"/>
    <w:rsid w:val="2EC71D67"/>
    <w:rsid w:val="2EFD0F86"/>
    <w:rsid w:val="2F457D92"/>
    <w:rsid w:val="2F5B14A5"/>
    <w:rsid w:val="2F8D73F0"/>
    <w:rsid w:val="2FBDC9F1"/>
    <w:rsid w:val="315F1FAD"/>
    <w:rsid w:val="31767B07"/>
    <w:rsid w:val="31C70717"/>
    <w:rsid w:val="32326294"/>
    <w:rsid w:val="32812E6E"/>
    <w:rsid w:val="32A7716C"/>
    <w:rsid w:val="33661F81"/>
    <w:rsid w:val="338177D2"/>
    <w:rsid w:val="33EA3D20"/>
    <w:rsid w:val="349C766D"/>
    <w:rsid w:val="34C40933"/>
    <w:rsid w:val="35293EEE"/>
    <w:rsid w:val="352C3131"/>
    <w:rsid w:val="36381881"/>
    <w:rsid w:val="364D3747"/>
    <w:rsid w:val="368A245A"/>
    <w:rsid w:val="36B82B10"/>
    <w:rsid w:val="36BE5A08"/>
    <w:rsid w:val="36DB2072"/>
    <w:rsid w:val="37EF20A6"/>
    <w:rsid w:val="38AC4A90"/>
    <w:rsid w:val="392A6086"/>
    <w:rsid w:val="393A7BCB"/>
    <w:rsid w:val="399814C9"/>
    <w:rsid w:val="39C8393A"/>
    <w:rsid w:val="3AA80F20"/>
    <w:rsid w:val="3ACA405B"/>
    <w:rsid w:val="3AEE30EC"/>
    <w:rsid w:val="3B4C203F"/>
    <w:rsid w:val="3B505972"/>
    <w:rsid w:val="3C094926"/>
    <w:rsid w:val="3CA06950"/>
    <w:rsid w:val="3CD34D5E"/>
    <w:rsid w:val="3CFD8C2D"/>
    <w:rsid w:val="3DF66AB0"/>
    <w:rsid w:val="3E5544D7"/>
    <w:rsid w:val="3ED06649"/>
    <w:rsid w:val="3EFB9B05"/>
    <w:rsid w:val="3FA684FA"/>
    <w:rsid w:val="3FAB96BE"/>
    <w:rsid w:val="3FBF1369"/>
    <w:rsid w:val="3FDB5DF1"/>
    <w:rsid w:val="3FDED793"/>
    <w:rsid w:val="3FDF4110"/>
    <w:rsid w:val="3FF311AD"/>
    <w:rsid w:val="3FF78042"/>
    <w:rsid w:val="3FFE10C8"/>
    <w:rsid w:val="401D61C0"/>
    <w:rsid w:val="414B607C"/>
    <w:rsid w:val="41A3549E"/>
    <w:rsid w:val="426042E3"/>
    <w:rsid w:val="42D90AF2"/>
    <w:rsid w:val="440C601A"/>
    <w:rsid w:val="441A04D4"/>
    <w:rsid w:val="46216826"/>
    <w:rsid w:val="46FF42F7"/>
    <w:rsid w:val="475234D8"/>
    <w:rsid w:val="476A13E8"/>
    <w:rsid w:val="47790412"/>
    <w:rsid w:val="47994367"/>
    <w:rsid w:val="47A86E6D"/>
    <w:rsid w:val="47E027CA"/>
    <w:rsid w:val="47FEAB4D"/>
    <w:rsid w:val="489B5BDB"/>
    <w:rsid w:val="4937785D"/>
    <w:rsid w:val="4AE90A8D"/>
    <w:rsid w:val="4B3D5C27"/>
    <w:rsid w:val="4B4551F2"/>
    <w:rsid w:val="4C2220D4"/>
    <w:rsid w:val="4C6D69D1"/>
    <w:rsid w:val="4CEB2530"/>
    <w:rsid w:val="4D1364EC"/>
    <w:rsid w:val="4D1BC49A"/>
    <w:rsid w:val="4D8016E5"/>
    <w:rsid w:val="4D863A49"/>
    <w:rsid w:val="4D9327C0"/>
    <w:rsid w:val="4DC718E7"/>
    <w:rsid w:val="4DD01001"/>
    <w:rsid w:val="4E665BA6"/>
    <w:rsid w:val="4F024081"/>
    <w:rsid w:val="4F560168"/>
    <w:rsid w:val="4F5746E4"/>
    <w:rsid w:val="4F6D24BE"/>
    <w:rsid w:val="4FF703F7"/>
    <w:rsid w:val="50D8657E"/>
    <w:rsid w:val="51512E17"/>
    <w:rsid w:val="51E53CDC"/>
    <w:rsid w:val="526977BB"/>
    <w:rsid w:val="52FB1BC2"/>
    <w:rsid w:val="53EF48C2"/>
    <w:rsid w:val="53F57A86"/>
    <w:rsid w:val="54895C40"/>
    <w:rsid w:val="54C24973"/>
    <w:rsid w:val="54F42AFF"/>
    <w:rsid w:val="55600A1D"/>
    <w:rsid w:val="5567A25D"/>
    <w:rsid w:val="55B05FB6"/>
    <w:rsid w:val="560D74DF"/>
    <w:rsid w:val="567412A4"/>
    <w:rsid w:val="568A0C6F"/>
    <w:rsid w:val="56BB328C"/>
    <w:rsid w:val="56FB6653"/>
    <w:rsid w:val="57370DD3"/>
    <w:rsid w:val="57605D7D"/>
    <w:rsid w:val="57B35CE2"/>
    <w:rsid w:val="58913AC3"/>
    <w:rsid w:val="58BE61D2"/>
    <w:rsid w:val="58E67C05"/>
    <w:rsid w:val="590F83E0"/>
    <w:rsid w:val="59375F5C"/>
    <w:rsid w:val="59630F03"/>
    <w:rsid w:val="597F8F05"/>
    <w:rsid w:val="5A055849"/>
    <w:rsid w:val="5A271408"/>
    <w:rsid w:val="5B73140F"/>
    <w:rsid w:val="5C9300D0"/>
    <w:rsid w:val="5CB32703"/>
    <w:rsid w:val="5CD35BE5"/>
    <w:rsid w:val="5D0004C6"/>
    <w:rsid w:val="5D4E0726"/>
    <w:rsid w:val="5D8F6061"/>
    <w:rsid w:val="5F7DB65F"/>
    <w:rsid w:val="5FBF9E10"/>
    <w:rsid w:val="5FC37593"/>
    <w:rsid w:val="5FDF0B1C"/>
    <w:rsid w:val="60FA610A"/>
    <w:rsid w:val="613D007B"/>
    <w:rsid w:val="61C65AFE"/>
    <w:rsid w:val="62578C3C"/>
    <w:rsid w:val="62612361"/>
    <w:rsid w:val="639114E6"/>
    <w:rsid w:val="65797765"/>
    <w:rsid w:val="663F737A"/>
    <w:rsid w:val="67244ADE"/>
    <w:rsid w:val="675F8F65"/>
    <w:rsid w:val="67927ED5"/>
    <w:rsid w:val="67CB7260"/>
    <w:rsid w:val="67FD4902"/>
    <w:rsid w:val="687C1C1C"/>
    <w:rsid w:val="699E7C2F"/>
    <w:rsid w:val="69BE7033"/>
    <w:rsid w:val="69F16919"/>
    <w:rsid w:val="6A294847"/>
    <w:rsid w:val="6A65276C"/>
    <w:rsid w:val="6AC47901"/>
    <w:rsid w:val="6AFF3DA2"/>
    <w:rsid w:val="6B320384"/>
    <w:rsid w:val="6BCE14C4"/>
    <w:rsid w:val="6C02332D"/>
    <w:rsid w:val="6C0F7A99"/>
    <w:rsid w:val="6C257DC9"/>
    <w:rsid w:val="6C4B421F"/>
    <w:rsid w:val="6C64489C"/>
    <w:rsid w:val="6D5A4B7F"/>
    <w:rsid w:val="6EA39D6C"/>
    <w:rsid w:val="6F267ADA"/>
    <w:rsid w:val="6F594EB3"/>
    <w:rsid w:val="6F9D743A"/>
    <w:rsid w:val="6FBF1FE6"/>
    <w:rsid w:val="6FC7354D"/>
    <w:rsid w:val="6FFEDE62"/>
    <w:rsid w:val="6FFF682D"/>
    <w:rsid w:val="6FFFDF34"/>
    <w:rsid w:val="71080D89"/>
    <w:rsid w:val="7175080B"/>
    <w:rsid w:val="7186F4B4"/>
    <w:rsid w:val="726A1098"/>
    <w:rsid w:val="737B2704"/>
    <w:rsid w:val="73A6F0C8"/>
    <w:rsid w:val="73CC0211"/>
    <w:rsid w:val="73EFABBB"/>
    <w:rsid w:val="741F23A4"/>
    <w:rsid w:val="74501C96"/>
    <w:rsid w:val="7578337B"/>
    <w:rsid w:val="757EAA3D"/>
    <w:rsid w:val="75B91371"/>
    <w:rsid w:val="75DFCC41"/>
    <w:rsid w:val="75E61BEE"/>
    <w:rsid w:val="75EE766E"/>
    <w:rsid w:val="75F745C8"/>
    <w:rsid w:val="7607511D"/>
    <w:rsid w:val="765833C3"/>
    <w:rsid w:val="76FF6F7D"/>
    <w:rsid w:val="77166765"/>
    <w:rsid w:val="7720627A"/>
    <w:rsid w:val="778962BC"/>
    <w:rsid w:val="779A77AC"/>
    <w:rsid w:val="77C2208C"/>
    <w:rsid w:val="77E9D9C2"/>
    <w:rsid w:val="77F30C7B"/>
    <w:rsid w:val="78B553DE"/>
    <w:rsid w:val="78E85C94"/>
    <w:rsid w:val="791B108A"/>
    <w:rsid w:val="797D4315"/>
    <w:rsid w:val="7A100E94"/>
    <w:rsid w:val="7AC2683B"/>
    <w:rsid w:val="7B423B59"/>
    <w:rsid w:val="7B6FE944"/>
    <w:rsid w:val="7BA3EC91"/>
    <w:rsid w:val="7BE787CF"/>
    <w:rsid w:val="7C58388D"/>
    <w:rsid w:val="7C7A5981"/>
    <w:rsid w:val="7CF5D5DB"/>
    <w:rsid w:val="7D7EC8CD"/>
    <w:rsid w:val="7DFF7F9D"/>
    <w:rsid w:val="7E282AF5"/>
    <w:rsid w:val="7E3D82B6"/>
    <w:rsid w:val="7E7F0693"/>
    <w:rsid w:val="7EBE223A"/>
    <w:rsid w:val="7ED92472"/>
    <w:rsid w:val="7ED99CC2"/>
    <w:rsid w:val="7F1879BC"/>
    <w:rsid w:val="7F3A5975"/>
    <w:rsid w:val="7F5E5D34"/>
    <w:rsid w:val="7F691DFB"/>
    <w:rsid w:val="7F730D6C"/>
    <w:rsid w:val="7FCBA4F8"/>
    <w:rsid w:val="7FFF1899"/>
    <w:rsid w:val="81EB3C3A"/>
    <w:rsid w:val="8CDA845A"/>
    <w:rsid w:val="8ECFFD56"/>
    <w:rsid w:val="8FDD6C5D"/>
    <w:rsid w:val="95CB16DE"/>
    <w:rsid w:val="99B77EE0"/>
    <w:rsid w:val="9E7B6197"/>
    <w:rsid w:val="9FED37BA"/>
    <w:rsid w:val="A1F996D1"/>
    <w:rsid w:val="AB6F98F3"/>
    <w:rsid w:val="B7799B9E"/>
    <w:rsid w:val="B77F0FAF"/>
    <w:rsid w:val="B7FF7374"/>
    <w:rsid w:val="BB9F279F"/>
    <w:rsid w:val="BCB190C7"/>
    <w:rsid w:val="BD7F112E"/>
    <w:rsid w:val="BDF6F2E2"/>
    <w:rsid w:val="BF69E885"/>
    <w:rsid w:val="BF9F7D8E"/>
    <w:rsid w:val="BFB650B6"/>
    <w:rsid w:val="C6FCE371"/>
    <w:rsid w:val="C7F7F066"/>
    <w:rsid w:val="CBFF8A60"/>
    <w:rsid w:val="CD3B0D55"/>
    <w:rsid w:val="CFFF4E9E"/>
    <w:rsid w:val="D57D44D0"/>
    <w:rsid w:val="D77C3604"/>
    <w:rsid w:val="D7EE2A06"/>
    <w:rsid w:val="DA77DE6A"/>
    <w:rsid w:val="DBB74874"/>
    <w:rsid w:val="DD3FDC7E"/>
    <w:rsid w:val="DDF6AF67"/>
    <w:rsid w:val="DF67A038"/>
    <w:rsid w:val="DF7BDF92"/>
    <w:rsid w:val="DF8DE048"/>
    <w:rsid w:val="DFAB23FE"/>
    <w:rsid w:val="DFB724C3"/>
    <w:rsid w:val="DFBFE4DB"/>
    <w:rsid w:val="DFFCAA03"/>
    <w:rsid w:val="E2FFA600"/>
    <w:rsid w:val="E7DD7C91"/>
    <w:rsid w:val="E7F7B4E4"/>
    <w:rsid w:val="E7FDA2F2"/>
    <w:rsid w:val="EA6790F0"/>
    <w:rsid w:val="EBEF1CA0"/>
    <w:rsid w:val="EBF5BF5A"/>
    <w:rsid w:val="EDFE27A9"/>
    <w:rsid w:val="EE7BA821"/>
    <w:rsid w:val="EEFF3E89"/>
    <w:rsid w:val="EF7D7BB4"/>
    <w:rsid w:val="EF99AF02"/>
    <w:rsid w:val="EFDF2481"/>
    <w:rsid w:val="F047853D"/>
    <w:rsid w:val="F2ECBDBB"/>
    <w:rsid w:val="F4C7C781"/>
    <w:rsid w:val="F5FDF678"/>
    <w:rsid w:val="F5FF6C02"/>
    <w:rsid w:val="F69F3012"/>
    <w:rsid w:val="F6FE7D1F"/>
    <w:rsid w:val="F77E2CBB"/>
    <w:rsid w:val="F7AB5BD3"/>
    <w:rsid w:val="F7B564CC"/>
    <w:rsid w:val="F7BF082A"/>
    <w:rsid w:val="F7BFE11D"/>
    <w:rsid w:val="FAFF5057"/>
    <w:rsid w:val="FB7704E9"/>
    <w:rsid w:val="FBBD267F"/>
    <w:rsid w:val="FBBD6810"/>
    <w:rsid w:val="FBDF6E2B"/>
    <w:rsid w:val="FBF3580F"/>
    <w:rsid w:val="FBFF326E"/>
    <w:rsid w:val="FD1EC79F"/>
    <w:rsid w:val="FD661357"/>
    <w:rsid w:val="FDF3622D"/>
    <w:rsid w:val="FE1BD8BF"/>
    <w:rsid w:val="FE3F8DB9"/>
    <w:rsid w:val="FE77F456"/>
    <w:rsid w:val="FECFFF92"/>
    <w:rsid w:val="FEF39F24"/>
    <w:rsid w:val="FF9FF837"/>
    <w:rsid w:val="FFAD37E5"/>
    <w:rsid w:val="FFBEC56A"/>
    <w:rsid w:val="FFC79609"/>
    <w:rsid w:val="FFD783A1"/>
    <w:rsid w:val="FFD83BD6"/>
    <w:rsid w:val="FFDB47DB"/>
    <w:rsid w:val="FFDDC2DC"/>
    <w:rsid w:val="FFDF4CDE"/>
    <w:rsid w:val="FFDFD5D3"/>
    <w:rsid w:val="FFE6752D"/>
    <w:rsid w:val="FFFD938C"/>
    <w:rsid w:val="FFFFD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Body Text Indent"/>
    <w:basedOn w:val="1"/>
    <w:next w:val="2"/>
    <w:qFormat/>
    <w:uiPriority w:val="0"/>
    <w:pPr>
      <w:ind w:firstLine="480"/>
    </w:pPr>
    <w:rPr>
      <w:snapToGrid w:val="0"/>
      <w:sz w:val="24"/>
    </w:rPr>
  </w:style>
  <w:style w:type="paragraph" w:styleId="4">
    <w:name w:val="annotation text"/>
    <w:basedOn w:val="1"/>
    <w:link w:val="11"/>
    <w:qFormat/>
    <w:uiPriority w:val="0"/>
    <w:pPr>
      <w:jc w:val="left"/>
    </w:pPr>
    <w:rPr>
      <w:rFonts w:ascii="??" w:hAnsi="??" w:eastAsia="宋体" w:cs="??"/>
      <w:sz w:val="32"/>
      <w:szCs w:val="21"/>
    </w:rPr>
  </w:style>
  <w:style w:type="paragraph" w:styleId="5">
    <w:name w:val="Body Text"/>
    <w:basedOn w:val="1"/>
    <w:next w:val="1"/>
    <w:qFormat/>
    <w:uiPriority w:val="0"/>
    <w:rPr>
      <w:rFonts w:ascii="楷体_GB2312"/>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SA"/>
    </w:rPr>
  </w:style>
  <w:style w:type="character" w:styleId="10">
    <w:name w:val="Strong"/>
    <w:basedOn w:val="9"/>
    <w:qFormat/>
    <w:uiPriority w:val="0"/>
    <w:rPr>
      <w:b/>
    </w:rPr>
  </w:style>
  <w:style w:type="character" w:customStyle="1" w:styleId="11">
    <w:name w:val="批注文字 Char"/>
    <w:basedOn w:val="9"/>
    <w:link w:val="4"/>
    <w:qFormat/>
    <w:uiPriority w:val="0"/>
    <w:rPr>
      <w:rFonts w:ascii="??" w:hAnsi="??" w:eastAsia="宋体" w:cs="??"/>
      <w:sz w:val="32"/>
      <w:szCs w:val="21"/>
    </w:rPr>
  </w:style>
  <w:style w:type="character" w:customStyle="1" w:styleId="12">
    <w:name w:val="font21"/>
    <w:basedOn w:val="9"/>
    <w:qFormat/>
    <w:uiPriority w:val="0"/>
    <w:rPr>
      <w:rFonts w:hint="eastAsia" w:ascii="宋体" w:hAnsi="宋体" w:eastAsia="宋体" w:cs="宋体"/>
      <w:color w:val="000000"/>
      <w:sz w:val="20"/>
      <w:szCs w:val="20"/>
      <w:u w:val="none"/>
    </w:rPr>
  </w:style>
  <w:style w:type="character" w:customStyle="1" w:styleId="13">
    <w:name w:val="font0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1982</Words>
  <Characters>2544</Characters>
  <Lines>0</Lines>
  <Paragraphs>0</Paragraphs>
  <TotalTime>15</TotalTime>
  <ScaleCrop>false</ScaleCrop>
  <LinksUpToDate>false</LinksUpToDate>
  <CharactersWithSpaces>2655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2020-08-21T01:20:00Z</dcterms:created>
  <dc:creator>NTKO</dc:creator>
  <cp:lastModifiedBy>pcb6</cp:lastModifiedBy>
  <cp:lastPrinted>2026-09-07T08:02:00Z</cp:lastPrinted>
  <dcterms:modified xsi:type="dcterms:W3CDTF">2026-10-09T08:37:59Z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