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outlineLvl w:val="9"/>
        <w:rPr>
          <w:rFonts w:hint="eastAsia"/>
          <w:b/>
          <w:color w:val="auto"/>
          <w:sz w:val="36"/>
          <w:szCs w:val="36"/>
        </w:rPr>
      </w:pPr>
      <w:bookmarkStart w:id="0" w:name="_GoBack"/>
      <w:bookmarkEnd w:id="0"/>
      <w:r>
        <w:rPr>
          <w:rFonts w:hint="eastAsia"/>
          <w:b/>
          <w:color w:val="auto"/>
          <w:sz w:val="36"/>
          <w:szCs w:val="36"/>
          <w:lang w:eastAsia="zh-CN"/>
        </w:rPr>
        <w:t>202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6</w:t>
      </w:r>
      <w:r>
        <w:rPr>
          <w:rFonts w:hint="eastAsia"/>
          <w:b/>
          <w:color w:val="auto"/>
          <w:sz w:val="36"/>
          <w:szCs w:val="36"/>
          <w:lang w:eastAsia="zh-CN"/>
        </w:rPr>
        <w:t>年</w:t>
      </w:r>
      <w:r>
        <w:rPr>
          <w:rFonts w:hint="eastAsia"/>
          <w:b/>
          <w:color w:val="auto"/>
          <w:sz w:val="36"/>
          <w:szCs w:val="36"/>
          <w:lang w:val="en" w:eastAsia="zh-CN"/>
        </w:rPr>
        <w:t>1-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8</w:t>
      </w:r>
      <w:r>
        <w:rPr>
          <w:rFonts w:hint="eastAsia"/>
          <w:b/>
          <w:color w:val="auto"/>
          <w:sz w:val="36"/>
          <w:szCs w:val="36"/>
          <w:lang w:val="en" w:eastAsia="zh-CN"/>
        </w:rPr>
        <w:t>月</w:t>
      </w:r>
      <w:r>
        <w:rPr>
          <w:rFonts w:hint="eastAsia"/>
          <w:b/>
          <w:color w:val="auto"/>
          <w:sz w:val="36"/>
          <w:szCs w:val="36"/>
          <w:lang w:eastAsia="zh-CN"/>
        </w:rPr>
        <w:t>密云区</w:t>
      </w:r>
      <w:r>
        <w:rPr>
          <w:rFonts w:hint="eastAsia"/>
          <w:b/>
          <w:color w:val="auto"/>
          <w:sz w:val="36"/>
          <w:szCs w:val="36"/>
        </w:rPr>
        <w:t>规模以</w:t>
      </w:r>
      <w:r>
        <w:rPr>
          <w:rFonts w:hint="eastAsia" w:ascii="Times New Roman" w:hAnsi="Times New Roman" w:eastAsia="宋体" w:cs="Times New Roman"/>
          <w:b/>
          <w:color w:val="auto"/>
          <w:sz w:val="36"/>
          <w:szCs w:val="36"/>
          <w:lang w:eastAsia="zh-CN"/>
        </w:rPr>
        <w:t>上服务业企业</w:t>
      </w:r>
      <w:r>
        <w:rPr>
          <w:rFonts w:hint="eastAsia"/>
          <w:b/>
          <w:color w:val="auto"/>
          <w:sz w:val="36"/>
          <w:szCs w:val="36"/>
        </w:rPr>
        <w:t>主要经济指标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outlineLvl w:val="9"/>
        <w:rPr>
          <w:rFonts w:hint="eastAsia"/>
          <w:b/>
          <w:color w:val="0000FF"/>
          <w:sz w:val="36"/>
          <w:szCs w:val="36"/>
        </w:rPr>
      </w:pPr>
    </w:p>
    <w:tbl>
      <w:tblPr>
        <w:tblStyle w:val="8"/>
        <w:tblW w:w="134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1"/>
        <w:gridCol w:w="2446"/>
        <w:gridCol w:w="24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561" w:type="dxa"/>
            <w:vMerge w:val="restart"/>
            <w:tcBorders>
              <w:top w:val="single" w:color="000000" w:sz="1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项    目</w:t>
            </w:r>
          </w:p>
        </w:tc>
        <w:tc>
          <w:tcPr>
            <w:tcW w:w="4893" w:type="dxa"/>
            <w:gridSpan w:val="2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营业收入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561" w:type="dxa"/>
            <w:vMerge w:val="continue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2026年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(亿元)</w:t>
            </w:r>
          </w:p>
        </w:tc>
        <w:tc>
          <w:tcPr>
            <w:tcW w:w="24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同比增长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（%）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561" w:type="dxa"/>
            <w:tcBorders>
              <w:top w:val="single" w:color="000000" w:sz="2" w:space="0"/>
              <w:left w:val="nil"/>
              <w:bottom w:val="nil"/>
              <w:right w:val="single" w:color="000000" w:sz="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合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</w:t>
            </w:r>
          </w:p>
        </w:tc>
        <w:tc>
          <w:tcPr>
            <w:tcW w:w="2446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bottom"/>
          </w:tcPr>
          <w:p>
            <w:pPr>
              <w:widowControl/>
              <w:ind w:firstLine="963" w:firstLineChars="40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241.3</w:t>
            </w:r>
            <w:r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2447" w:type="dxa"/>
            <w:tcBorders>
              <w:top w:val="single" w:color="000000" w:sz="2" w:space="0"/>
              <w:left w:val="single" w:color="000000" w:sz="2" w:space="0"/>
              <w:bottom w:val="nil"/>
              <w:right w:val="nil"/>
            </w:tcBorders>
            <w:vAlign w:val="bottom"/>
          </w:tcPr>
          <w:p>
            <w:pPr>
              <w:widowControl/>
              <w:ind w:firstLine="963" w:firstLineChars="40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</w:trPr>
        <w:tc>
          <w:tcPr>
            <w:tcW w:w="8561" w:type="dxa"/>
            <w:tcBorders>
              <w:top w:val="nil"/>
              <w:left w:val="nil"/>
              <w:bottom w:val="nil"/>
              <w:right w:val="single" w:color="000000" w:sz="2" w:space="0"/>
            </w:tcBorders>
            <w:vAlign w:val="center"/>
          </w:tcPr>
          <w:p>
            <w:pPr>
              <w:widowControl/>
              <w:ind w:firstLine="240" w:firstLineChars="1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其中：交通运输、仓储和邮政业</w:t>
            </w:r>
          </w:p>
        </w:tc>
        <w:tc>
          <w:tcPr>
            <w:tcW w:w="2446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23.9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2447" w:type="dxa"/>
            <w:tcBorders>
              <w:top w:val="nil"/>
              <w:left w:val="single" w:color="000000" w:sz="2" w:space="0"/>
              <w:bottom w:val="nil"/>
              <w:right w:val="nil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8561" w:type="dxa"/>
            <w:tcBorders>
              <w:top w:val="nil"/>
              <w:left w:val="nil"/>
              <w:bottom w:val="nil"/>
              <w:right w:val="single" w:color="000000" w:sz="2" w:space="0"/>
            </w:tcBorders>
            <w:vAlign w:val="center"/>
          </w:tcPr>
          <w:p>
            <w:pPr>
              <w:widowControl/>
              <w:ind w:firstLine="960" w:firstLineChars="4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信息传输、软件和信息技术服务业</w:t>
            </w:r>
          </w:p>
        </w:tc>
        <w:tc>
          <w:tcPr>
            <w:tcW w:w="2446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44.0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2447" w:type="dxa"/>
            <w:tcBorders>
              <w:top w:val="nil"/>
              <w:left w:val="single" w:color="000000" w:sz="2" w:space="0"/>
              <w:bottom w:val="nil"/>
              <w:right w:val="nil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</w:trPr>
        <w:tc>
          <w:tcPr>
            <w:tcW w:w="8561" w:type="dxa"/>
            <w:tcBorders>
              <w:top w:val="nil"/>
              <w:left w:val="nil"/>
              <w:bottom w:val="nil"/>
              <w:right w:val="single" w:color="000000" w:sz="2" w:space="0"/>
            </w:tcBorders>
            <w:vAlign w:val="center"/>
          </w:tcPr>
          <w:p>
            <w:pPr>
              <w:widowControl/>
              <w:ind w:firstLine="960" w:firstLineChars="4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房地产业</w:t>
            </w:r>
          </w:p>
        </w:tc>
        <w:tc>
          <w:tcPr>
            <w:tcW w:w="2446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65.7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2447" w:type="dxa"/>
            <w:tcBorders>
              <w:top w:val="nil"/>
              <w:left w:val="single" w:color="000000" w:sz="2" w:space="0"/>
              <w:bottom w:val="nil"/>
              <w:right w:val="nil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19.8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8561" w:type="dxa"/>
            <w:tcBorders>
              <w:top w:val="nil"/>
              <w:left w:val="nil"/>
              <w:bottom w:val="nil"/>
              <w:right w:val="single" w:color="000000" w:sz="2" w:space="0"/>
            </w:tcBorders>
            <w:vAlign w:val="center"/>
          </w:tcPr>
          <w:p>
            <w:pPr>
              <w:widowControl/>
              <w:ind w:firstLine="960" w:firstLineChars="4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租赁和商务服务业</w:t>
            </w:r>
          </w:p>
        </w:tc>
        <w:tc>
          <w:tcPr>
            <w:tcW w:w="2446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44.6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2447" w:type="dxa"/>
            <w:tcBorders>
              <w:top w:val="nil"/>
              <w:left w:val="single" w:color="000000" w:sz="2" w:space="0"/>
              <w:bottom w:val="nil"/>
              <w:right w:val="nil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</w:trPr>
        <w:tc>
          <w:tcPr>
            <w:tcW w:w="8561" w:type="dxa"/>
            <w:tcBorders>
              <w:top w:val="nil"/>
              <w:left w:val="nil"/>
              <w:bottom w:val="nil"/>
              <w:right w:val="single" w:color="000000" w:sz="2" w:space="0"/>
            </w:tcBorders>
            <w:vAlign w:val="center"/>
          </w:tcPr>
          <w:p>
            <w:pPr>
              <w:widowControl/>
              <w:ind w:firstLine="960" w:firstLineChars="4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科学研究和技术服务业</w:t>
            </w:r>
          </w:p>
        </w:tc>
        <w:tc>
          <w:tcPr>
            <w:tcW w:w="2446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30.5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2447" w:type="dxa"/>
            <w:tcBorders>
              <w:top w:val="nil"/>
              <w:left w:val="single" w:color="000000" w:sz="2" w:space="0"/>
              <w:bottom w:val="nil"/>
              <w:right w:val="nil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8561" w:type="dxa"/>
            <w:tcBorders>
              <w:top w:val="nil"/>
              <w:left w:val="nil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widowControl/>
              <w:ind w:firstLine="960" w:firstLineChars="4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文化、体育和娱乐业</w:t>
            </w:r>
          </w:p>
        </w:tc>
        <w:tc>
          <w:tcPr>
            <w:tcW w:w="2446" w:type="dxa"/>
            <w:tcBorders>
              <w:top w:val="nil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17.6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2447" w:type="dxa"/>
            <w:tcBorders>
              <w:top w:val="nil"/>
              <w:left w:val="single" w:color="000000" w:sz="2" w:space="0"/>
              <w:bottom w:val="single" w:color="000000" w:sz="12" w:space="0"/>
              <w:right w:val="nil"/>
            </w:tcBorders>
            <w:vAlign w:val="bottom"/>
          </w:tcPr>
          <w:p>
            <w:pPr>
              <w:widowControl/>
              <w:ind w:firstLine="960" w:firstLineChars="400"/>
              <w:jc w:val="righ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7.6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outlineLvl w:val="9"/>
        <w:rPr>
          <w:rFonts w:hint="eastAsia" w:ascii="楷体_GB2312" w:hAnsi="宋体" w:eastAsia="楷体_GB2312" w:cs="宋体"/>
          <w:bCs/>
          <w:sz w:val="24"/>
        </w:rPr>
      </w:pPr>
      <w:r>
        <w:rPr>
          <w:rFonts w:hint="eastAsia" w:ascii="楷体_GB2312" w:hAnsi="宋体" w:eastAsia="楷体_GB2312" w:cs="宋体"/>
          <w:bCs/>
          <w:sz w:val="24"/>
        </w:rPr>
        <w:t>注释：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1" w:firstLineChars="200"/>
        <w:textAlignment w:val="auto"/>
        <w:outlineLvl w:val="9"/>
        <w:rPr>
          <w:rFonts w:hint="eastAsia" w:ascii="楷体_GB2312" w:hAnsi="宋体" w:eastAsia="楷体_GB2312" w:cs="宋体"/>
          <w:sz w:val="24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sz w:val="24"/>
          <w:lang w:val="en-US" w:eastAsia="zh-CN"/>
        </w:rPr>
        <w:t>1.情况说明：</w:t>
      </w:r>
      <w:r>
        <w:rPr>
          <w:rFonts w:hint="eastAsia" w:ascii="楷体_GB2312" w:hAnsi="宋体" w:eastAsia="楷体_GB2312" w:cs="宋体"/>
          <w:sz w:val="24"/>
          <w:lang w:val="en-US" w:eastAsia="zh-CN"/>
        </w:rPr>
        <w:t>同比增长是利用统计范围内调查单位填报的相关指标“1-本月”以及“上年同期”数据计算取得。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1" w:firstLineChars="200"/>
        <w:textAlignment w:val="auto"/>
        <w:outlineLvl w:val="9"/>
        <w:rPr>
          <w:rFonts w:hint="eastAsia" w:ascii="楷体_GB2312" w:hAnsi="宋体" w:eastAsia="楷体_GB2312" w:cs="宋体"/>
          <w:sz w:val="24"/>
        </w:rPr>
      </w:pPr>
      <w:r>
        <w:rPr>
          <w:rFonts w:hint="eastAsia" w:ascii="楷体_GB2312" w:hAnsi="宋体" w:eastAsia="楷体_GB2312" w:cs="宋体"/>
          <w:b/>
          <w:bCs/>
          <w:sz w:val="24"/>
          <w:lang w:val="en-US" w:eastAsia="zh-CN"/>
        </w:rPr>
        <w:t>2.</w:t>
      </w:r>
      <w:r>
        <w:rPr>
          <w:rFonts w:hint="eastAsia" w:ascii="楷体_GB2312" w:hAnsi="宋体" w:eastAsia="楷体_GB2312" w:cs="宋体"/>
          <w:b/>
          <w:bCs/>
          <w:sz w:val="24"/>
        </w:rPr>
        <w:t>统计范围：</w:t>
      </w:r>
      <w:r>
        <w:rPr>
          <w:rFonts w:hint="eastAsia" w:ascii="楷体_GB2312" w:hAnsi="宋体" w:eastAsia="楷体_GB2312" w:cs="宋体"/>
          <w:sz w:val="24"/>
        </w:rPr>
        <w:t>年营业收入2000万元及以上的交通运输、仓储和邮政业，信息传输、软件和信息技术服务业，水利、环境和公共设施管理业，卫生行业服务业企业法人单位；年营业收入1000万元及以上的租赁和商务服务业，科学研究和技术服务业，教育，以及物业管理、房地产中介服务、房地产租赁经营和其他房地产业服务业企业法人单位；年营业收入500万元及以上的居民服务、修理和其他服务业，文化、体育和娱乐业，社会工作行业服务业企业法人单位</w:t>
      </w:r>
      <w:r>
        <w:rPr>
          <w:rFonts w:hint="eastAsia" w:ascii="楷体_GB2312" w:hAnsi="宋体" w:eastAsia="楷体_GB2312" w:cs="宋体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1" w:firstLineChars="200"/>
        <w:textAlignment w:val="auto"/>
        <w:outlineLvl w:val="9"/>
        <w:rPr>
          <w:rFonts w:hint="eastAsia" w:ascii="楷体_GB2312" w:hAnsi="宋体" w:eastAsia="楷体_GB2312" w:cs="宋体"/>
          <w:sz w:val="24"/>
        </w:rPr>
      </w:pPr>
      <w:r>
        <w:rPr>
          <w:rFonts w:hint="eastAsia" w:ascii="楷体_GB2312" w:hAnsi="宋体" w:eastAsia="楷体_GB2312" w:cs="宋体"/>
          <w:b/>
          <w:bCs/>
          <w:sz w:val="24"/>
          <w:lang w:val="en-US" w:eastAsia="zh-CN"/>
        </w:rPr>
        <w:t>3.</w:t>
      </w:r>
      <w:r>
        <w:rPr>
          <w:rFonts w:hint="eastAsia" w:ascii="楷体_GB2312" w:hAnsi="宋体" w:eastAsia="楷体_GB2312" w:cs="宋体"/>
          <w:b/>
          <w:bCs/>
          <w:sz w:val="24"/>
        </w:rPr>
        <w:t>采集渠道：</w:t>
      </w:r>
      <w:r>
        <w:rPr>
          <w:rFonts w:hint="eastAsia" w:ascii="楷体_GB2312" w:hAnsi="宋体" w:eastAsia="楷体_GB2312" w:cs="宋体"/>
          <w:sz w:val="24"/>
        </w:rPr>
        <w:t xml:space="preserve">所有符合统计范围的单位按照《服务业统计报表制度》的要求通过统计数据集中采集平台上报统计数据。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1" w:firstLineChars="200"/>
        <w:jc w:val="both"/>
        <w:textAlignment w:val="auto"/>
        <w:outlineLvl w:val="9"/>
        <w:rPr>
          <w:rFonts w:hint="eastAsia"/>
          <w:b/>
          <w:color w:val="0000FF"/>
          <w:sz w:val="36"/>
          <w:szCs w:val="36"/>
          <w:lang w:val="en-US" w:eastAsia="zh-CN"/>
        </w:rPr>
      </w:pPr>
      <w:r>
        <w:rPr>
          <w:rFonts w:hint="eastAsia" w:ascii="楷体_GB2312" w:hAnsi="宋体" w:eastAsia="楷体_GB2312" w:cs="宋体"/>
          <w:b/>
          <w:bCs/>
          <w:sz w:val="24"/>
          <w:lang w:val="en-US" w:eastAsia="zh-CN"/>
        </w:rPr>
        <w:t>4.</w:t>
      </w:r>
      <w:r>
        <w:rPr>
          <w:rFonts w:hint="eastAsia" w:ascii="楷体_GB2312" w:hAnsi="宋体" w:eastAsia="楷体_GB2312" w:cs="宋体"/>
          <w:b/>
          <w:bCs/>
          <w:sz w:val="24"/>
        </w:rPr>
        <w:t>主要统计指标解释：</w:t>
      </w:r>
      <w:r>
        <w:rPr>
          <w:rFonts w:hint="eastAsia" w:ascii="楷体_GB2312" w:hAnsi="宋体" w:eastAsia="楷体_GB2312" w:cs="宋体"/>
          <w:bCs/>
          <w:sz w:val="24"/>
        </w:rPr>
        <w:t>营业收入指企业从事销售商品、提供劳务和让渡资产使用权等生产经营活动形成的经济利益流入，包括“主营业务收入”和“其他业务收入”。</w:t>
      </w:r>
    </w:p>
    <w:sectPr>
      <w:head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cript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??">
    <w:altName w:val="汉仪叶叶相思体简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叶叶相思体简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45EF1"/>
    <w:rsid w:val="01DE4569"/>
    <w:rsid w:val="01EA0DDF"/>
    <w:rsid w:val="021113C5"/>
    <w:rsid w:val="02383BF7"/>
    <w:rsid w:val="025D0472"/>
    <w:rsid w:val="030260AC"/>
    <w:rsid w:val="04B3291D"/>
    <w:rsid w:val="05144DE3"/>
    <w:rsid w:val="056063CD"/>
    <w:rsid w:val="0638629E"/>
    <w:rsid w:val="065A435E"/>
    <w:rsid w:val="0693162F"/>
    <w:rsid w:val="06BD48AA"/>
    <w:rsid w:val="07B0077F"/>
    <w:rsid w:val="08FE4A5D"/>
    <w:rsid w:val="09350139"/>
    <w:rsid w:val="0979482C"/>
    <w:rsid w:val="09B712A8"/>
    <w:rsid w:val="0AC36A44"/>
    <w:rsid w:val="0B55531A"/>
    <w:rsid w:val="0B7B2A58"/>
    <w:rsid w:val="0BD8075B"/>
    <w:rsid w:val="0BFA39C5"/>
    <w:rsid w:val="0C683C8D"/>
    <w:rsid w:val="0CA36702"/>
    <w:rsid w:val="0E0F611E"/>
    <w:rsid w:val="0E4220D5"/>
    <w:rsid w:val="0E927B34"/>
    <w:rsid w:val="0EDD0097"/>
    <w:rsid w:val="103E310E"/>
    <w:rsid w:val="113B5B74"/>
    <w:rsid w:val="118634F1"/>
    <w:rsid w:val="12917D5A"/>
    <w:rsid w:val="13BA65BA"/>
    <w:rsid w:val="13C96186"/>
    <w:rsid w:val="13DB96C9"/>
    <w:rsid w:val="13E07E50"/>
    <w:rsid w:val="141623DE"/>
    <w:rsid w:val="145855B9"/>
    <w:rsid w:val="156D1FBE"/>
    <w:rsid w:val="163459DA"/>
    <w:rsid w:val="169355EC"/>
    <w:rsid w:val="172B5C42"/>
    <w:rsid w:val="176149FE"/>
    <w:rsid w:val="19715261"/>
    <w:rsid w:val="1A21665C"/>
    <w:rsid w:val="1AD30A1E"/>
    <w:rsid w:val="1AD8402B"/>
    <w:rsid w:val="1B0B13DC"/>
    <w:rsid w:val="1B122FB6"/>
    <w:rsid w:val="1BCD0481"/>
    <w:rsid w:val="1C0E5505"/>
    <w:rsid w:val="1C276350"/>
    <w:rsid w:val="1C56369B"/>
    <w:rsid w:val="1CD46D9A"/>
    <w:rsid w:val="1D8D5B77"/>
    <w:rsid w:val="1D98136E"/>
    <w:rsid w:val="1DFB1785"/>
    <w:rsid w:val="1EB84662"/>
    <w:rsid w:val="1FFF4CB5"/>
    <w:rsid w:val="21382369"/>
    <w:rsid w:val="21784A05"/>
    <w:rsid w:val="224D311F"/>
    <w:rsid w:val="22DB4243"/>
    <w:rsid w:val="23543D99"/>
    <w:rsid w:val="236F1C12"/>
    <w:rsid w:val="248C2EED"/>
    <w:rsid w:val="256C6363"/>
    <w:rsid w:val="25A15611"/>
    <w:rsid w:val="25E84811"/>
    <w:rsid w:val="26A37460"/>
    <w:rsid w:val="27174A9F"/>
    <w:rsid w:val="285E57AA"/>
    <w:rsid w:val="28DD1ED1"/>
    <w:rsid w:val="29303B10"/>
    <w:rsid w:val="29763C32"/>
    <w:rsid w:val="29AD74D8"/>
    <w:rsid w:val="29FB5780"/>
    <w:rsid w:val="2A8B18F5"/>
    <w:rsid w:val="2A94053E"/>
    <w:rsid w:val="2B0A6FDA"/>
    <w:rsid w:val="2BEF4705"/>
    <w:rsid w:val="2C644628"/>
    <w:rsid w:val="2C6C1E73"/>
    <w:rsid w:val="2D076D14"/>
    <w:rsid w:val="2E29008C"/>
    <w:rsid w:val="2E2B4EE6"/>
    <w:rsid w:val="2E6C7B7D"/>
    <w:rsid w:val="2EC71D67"/>
    <w:rsid w:val="2EFD0F86"/>
    <w:rsid w:val="2F457D92"/>
    <w:rsid w:val="2F5B14A5"/>
    <w:rsid w:val="2F8D73F0"/>
    <w:rsid w:val="2FBDC9F1"/>
    <w:rsid w:val="315F1FAD"/>
    <w:rsid w:val="31767B07"/>
    <w:rsid w:val="31834D54"/>
    <w:rsid w:val="32326294"/>
    <w:rsid w:val="32812E6E"/>
    <w:rsid w:val="32A7716C"/>
    <w:rsid w:val="33661F81"/>
    <w:rsid w:val="338177D2"/>
    <w:rsid w:val="33EA3D20"/>
    <w:rsid w:val="349C766D"/>
    <w:rsid w:val="34C40933"/>
    <w:rsid w:val="34FF2027"/>
    <w:rsid w:val="352C3131"/>
    <w:rsid w:val="359A0541"/>
    <w:rsid w:val="36381881"/>
    <w:rsid w:val="364D3747"/>
    <w:rsid w:val="368A245A"/>
    <w:rsid w:val="36B82B10"/>
    <w:rsid w:val="36BE5A08"/>
    <w:rsid w:val="36DB2072"/>
    <w:rsid w:val="371024FC"/>
    <w:rsid w:val="37B7016D"/>
    <w:rsid w:val="37EF20A6"/>
    <w:rsid w:val="389E4B0C"/>
    <w:rsid w:val="38AC4A90"/>
    <w:rsid w:val="392A6086"/>
    <w:rsid w:val="393A7BCB"/>
    <w:rsid w:val="39C8393A"/>
    <w:rsid w:val="3ACA405B"/>
    <w:rsid w:val="3AEE30EC"/>
    <w:rsid w:val="3B4C203F"/>
    <w:rsid w:val="3B505972"/>
    <w:rsid w:val="3C094926"/>
    <w:rsid w:val="3CA06950"/>
    <w:rsid w:val="3CD34D5E"/>
    <w:rsid w:val="3DF66AB0"/>
    <w:rsid w:val="3E5544D7"/>
    <w:rsid w:val="3ED06649"/>
    <w:rsid w:val="3EFB9B05"/>
    <w:rsid w:val="3F056172"/>
    <w:rsid w:val="3FA684FA"/>
    <w:rsid w:val="3FAB96BE"/>
    <w:rsid w:val="3FBF1369"/>
    <w:rsid w:val="3FDB5DF1"/>
    <w:rsid w:val="3FDED793"/>
    <w:rsid w:val="3FDF4110"/>
    <w:rsid w:val="3FF311AD"/>
    <w:rsid w:val="3FFE10C8"/>
    <w:rsid w:val="401D61C0"/>
    <w:rsid w:val="414B607C"/>
    <w:rsid w:val="41A3549E"/>
    <w:rsid w:val="426042E3"/>
    <w:rsid w:val="42D90AF2"/>
    <w:rsid w:val="43B174E2"/>
    <w:rsid w:val="440C601A"/>
    <w:rsid w:val="441A04D4"/>
    <w:rsid w:val="46216826"/>
    <w:rsid w:val="46FF42F7"/>
    <w:rsid w:val="475234D8"/>
    <w:rsid w:val="476A13E8"/>
    <w:rsid w:val="47790412"/>
    <w:rsid w:val="47A86E6D"/>
    <w:rsid w:val="47E027CA"/>
    <w:rsid w:val="47FEAB4D"/>
    <w:rsid w:val="489B5BDB"/>
    <w:rsid w:val="4937785D"/>
    <w:rsid w:val="493F1F4C"/>
    <w:rsid w:val="4AE90A8D"/>
    <w:rsid w:val="4B3D5C27"/>
    <w:rsid w:val="4B4551F2"/>
    <w:rsid w:val="4C2220D4"/>
    <w:rsid w:val="4C6D69D1"/>
    <w:rsid w:val="4CEB2530"/>
    <w:rsid w:val="4D1BC49A"/>
    <w:rsid w:val="4D8016E5"/>
    <w:rsid w:val="4D863A49"/>
    <w:rsid w:val="4D9327C0"/>
    <w:rsid w:val="4DC718E7"/>
    <w:rsid w:val="4DD01001"/>
    <w:rsid w:val="4E665BA6"/>
    <w:rsid w:val="4F024081"/>
    <w:rsid w:val="4F560168"/>
    <w:rsid w:val="4F5746E4"/>
    <w:rsid w:val="4F6D24BE"/>
    <w:rsid w:val="4FF703F7"/>
    <w:rsid w:val="50D8657E"/>
    <w:rsid w:val="51512E17"/>
    <w:rsid w:val="526977BB"/>
    <w:rsid w:val="52FB1BC2"/>
    <w:rsid w:val="53024BE8"/>
    <w:rsid w:val="53D64752"/>
    <w:rsid w:val="53EF48C2"/>
    <w:rsid w:val="53F57A86"/>
    <w:rsid w:val="54895C40"/>
    <w:rsid w:val="54C972D4"/>
    <w:rsid w:val="54F42AFF"/>
    <w:rsid w:val="55600A1D"/>
    <w:rsid w:val="5567A25D"/>
    <w:rsid w:val="55B05FB6"/>
    <w:rsid w:val="560D74DF"/>
    <w:rsid w:val="567412A4"/>
    <w:rsid w:val="568A0C6F"/>
    <w:rsid w:val="56BB328C"/>
    <w:rsid w:val="57370DD3"/>
    <w:rsid w:val="57605D7D"/>
    <w:rsid w:val="57B35CE2"/>
    <w:rsid w:val="58913AC3"/>
    <w:rsid w:val="58BE61D2"/>
    <w:rsid w:val="58E67C05"/>
    <w:rsid w:val="590F83E0"/>
    <w:rsid w:val="59375F5C"/>
    <w:rsid w:val="59630F03"/>
    <w:rsid w:val="597F8F05"/>
    <w:rsid w:val="59E66964"/>
    <w:rsid w:val="5A055849"/>
    <w:rsid w:val="5A271408"/>
    <w:rsid w:val="5B73140F"/>
    <w:rsid w:val="5C9300D0"/>
    <w:rsid w:val="5CB32703"/>
    <w:rsid w:val="5CD35BE5"/>
    <w:rsid w:val="5D0004C6"/>
    <w:rsid w:val="5D4E0726"/>
    <w:rsid w:val="5D8F6061"/>
    <w:rsid w:val="5F3770FE"/>
    <w:rsid w:val="5FBF9E10"/>
    <w:rsid w:val="5FC37593"/>
    <w:rsid w:val="5FD76051"/>
    <w:rsid w:val="5FDF0B1C"/>
    <w:rsid w:val="5FFD34FE"/>
    <w:rsid w:val="60FA610A"/>
    <w:rsid w:val="613D007B"/>
    <w:rsid w:val="61C65AFE"/>
    <w:rsid w:val="62578C3C"/>
    <w:rsid w:val="62612361"/>
    <w:rsid w:val="639114E6"/>
    <w:rsid w:val="65797765"/>
    <w:rsid w:val="65B45D61"/>
    <w:rsid w:val="65FA5FD6"/>
    <w:rsid w:val="663F737A"/>
    <w:rsid w:val="675F8F65"/>
    <w:rsid w:val="67927ED5"/>
    <w:rsid w:val="67CB7260"/>
    <w:rsid w:val="67FD4902"/>
    <w:rsid w:val="687C1C1C"/>
    <w:rsid w:val="6968258B"/>
    <w:rsid w:val="698C0455"/>
    <w:rsid w:val="699E7C2F"/>
    <w:rsid w:val="69BE7033"/>
    <w:rsid w:val="69F16919"/>
    <w:rsid w:val="6A294847"/>
    <w:rsid w:val="6A65276C"/>
    <w:rsid w:val="6AC47901"/>
    <w:rsid w:val="6AFF3DA2"/>
    <w:rsid w:val="6B320384"/>
    <w:rsid w:val="6C02332D"/>
    <w:rsid w:val="6C0F7A99"/>
    <w:rsid w:val="6C257DC9"/>
    <w:rsid w:val="6C374C64"/>
    <w:rsid w:val="6C4B421F"/>
    <w:rsid w:val="6D5A4B7F"/>
    <w:rsid w:val="6E330554"/>
    <w:rsid w:val="6EA39D6C"/>
    <w:rsid w:val="6F9D743A"/>
    <w:rsid w:val="6FA213A6"/>
    <w:rsid w:val="6FBF1FE6"/>
    <w:rsid w:val="6FC7354D"/>
    <w:rsid w:val="6FFEDE62"/>
    <w:rsid w:val="6FFF682D"/>
    <w:rsid w:val="6FFFDF34"/>
    <w:rsid w:val="71080D89"/>
    <w:rsid w:val="7175080B"/>
    <w:rsid w:val="7186F4B4"/>
    <w:rsid w:val="726A1098"/>
    <w:rsid w:val="737B2704"/>
    <w:rsid w:val="73A6F0C8"/>
    <w:rsid w:val="73CC0211"/>
    <w:rsid w:val="73EFABBB"/>
    <w:rsid w:val="741F23A4"/>
    <w:rsid w:val="74501C96"/>
    <w:rsid w:val="74A94D66"/>
    <w:rsid w:val="757EAA3D"/>
    <w:rsid w:val="75DFCC41"/>
    <w:rsid w:val="75E61BEE"/>
    <w:rsid w:val="75EE766E"/>
    <w:rsid w:val="75F745C8"/>
    <w:rsid w:val="7607511D"/>
    <w:rsid w:val="76213B17"/>
    <w:rsid w:val="765833C3"/>
    <w:rsid w:val="76BB503F"/>
    <w:rsid w:val="77166765"/>
    <w:rsid w:val="7720627A"/>
    <w:rsid w:val="77720DB7"/>
    <w:rsid w:val="778962BC"/>
    <w:rsid w:val="779A77AC"/>
    <w:rsid w:val="77E9D9C2"/>
    <w:rsid w:val="77F30C7B"/>
    <w:rsid w:val="783040B3"/>
    <w:rsid w:val="78B553DE"/>
    <w:rsid w:val="78D82FCB"/>
    <w:rsid w:val="78E85C94"/>
    <w:rsid w:val="791B108A"/>
    <w:rsid w:val="797D4315"/>
    <w:rsid w:val="7A100E94"/>
    <w:rsid w:val="7A994591"/>
    <w:rsid w:val="7AC1378F"/>
    <w:rsid w:val="7AC2683B"/>
    <w:rsid w:val="7B423B59"/>
    <w:rsid w:val="7B6FE944"/>
    <w:rsid w:val="7BA3EC91"/>
    <w:rsid w:val="7BE787CF"/>
    <w:rsid w:val="7C58388D"/>
    <w:rsid w:val="7C5E6906"/>
    <w:rsid w:val="7C7A5981"/>
    <w:rsid w:val="7CF5D5DB"/>
    <w:rsid w:val="7D7EC8CD"/>
    <w:rsid w:val="7DFF7F9D"/>
    <w:rsid w:val="7E282AF5"/>
    <w:rsid w:val="7E3D82B6"/>
    <w:rsid w:val="7E7F0693"/>
    <w:rsid w:val="7EBE223A"/>
    <w:rsid w:val="7ED92472"/>
    <w:rsid w:val="7ED99CC2"/>
    <w:rsid w:val="7F1879BC"/>
    <w:rsid w:val="7F3A32B4"/>
    <w:rsid w:val="7F3A5975"/>
    <w:rsid w:val="7F5E5D34"/>
    <w:rsid w:val="7F691DFB"/>
    <w:rsid w:val="7FCBA4F8"/>
    <w:rsid w:val="7FFF1899"/>
    <w:rsid w:val="81EB3C3A"/>
    <w:rsid w:val="8CDA845A"/>
    <w:rsid w:val="8ECFFD56"/>
    <w:rsid w:val="8FDD6C5D"/>
    <w:rsid w:val="95CB16DE"/>
    <w:rsid w:val="99B77EE0"/>
    <w:rsid w:val="9E7B6197"/>
    <w:rsid w:val="9FED37BA"/>
    <w:rsid w:val="A1F996D1"/>
    <w:rsid w:val="AB6F98F3"/>
    <w:rsid w:val="B7799B9E"/>
    <w:rsid w:val="B7FF7374"/>
    <w:rsid w:val="BB9F279F"/>
    <w:rsid w:val="BCB190C7"/>
    <w:rsid w:val="BD7F112E"/>
    <w:rsid w:val="BDF6F2E2"/>
    <w:rsid w:val="BF69E885"/>
    <w:rsid w:val="BFB650B6"/>
    <w:rsid w:val="BFD77090"/>
    <w:rsid w:val="C6FCE371"/>
    <w:rsid w:val="C7F7F066"/>
    <w:rsid w:val="CBFF8A60"/>
    <w:rsid w:val="CD3B0D55"/>
    <w:rsid w:val="CFFF4E9E"/>
    <w:rsid w:val="D57D44D0"/>
    <w:rsid w:val="D77C3604"/>
    <w:rsid w:val="D7EE2A06"/>
    <w:rsid w:val="DA77DE6A"/>
    <w:rsid w:val="DBB74874"/>
    <w:rsid w:val="DD3FDC7E"/>
    <w:rsid w:val="DDF6AF67"/>
    <w:rsid w:val="DF67A038"/>
    <w:rsid w:val="DF7BDF92"/>
    <w:rsid w:val="DF8DE048"/>
    <w:rsid w:val="DFAB23FE"/>
    <w:rsid w:val="DFB724C3"/>
    <w:rsid w:val="DFBFE4DB"/>
    <w:rsid w:val="DFFCAA03"/>
    <w:rsid w:val="E2FFA600"/>
    <w:rsid w:val="E7DD7C91"/>
    <w:rsid w:val="E7F7B4E4"/>
    <w:rsid w:val="E7FDA2F2"/>
    <w:rsid w:val="EA6790F0"/>
    <w:rsid w:val="EBEF1CA0"/>
    <w:rsid w:val="EBF5BF5A"/>
    <w:rsid w:val="EDFE27A9"/>
    <w:rsid w:val="EE7BA821"/>
    <w:rsid w:val="EEFF3E89"/>
    <w:rsid w:val="EF7D7BB4"/>
    <w:rsid w:val="EF99AF02"/>
    <w:rsid w:val="F047853D"/>
    <w:rsid w:val="F2ECBDBB"/>
    <w:rsid w:val="F4C7C781"/>
    <w:rsid w:val="F5FDF678"/>
    <w:rsid w:val="F5FF6C02"/>
    <w:rsid w:val="F69F3012"/>
    <w:rsid w:val="F6FE7D1F"/>
    <w:rsid w:val="F77E2CBB"/>
    <w:rsid w:val="F7AB5BD3"/>
    <w:rsid w:val="F7B564CC"/>
    <w:rsid w:val="F7BF082A"/>
    <w:rsid w:val="F7BFE11D"/>
    <w:rsid w:val="FAFF5057"/>
    <w:rsid w:val="FB7704E9"/>
    <w:rsid w:val="FBBD267F"/>
    <w:rsid w:val="FBBD6810"/>
    <w:rsid w:val="FBDF6E2B"/>
    <w:rsid w:val="FBF3580F"/>
    <w:rsid w:val="FBFF326E"/>
    <w:rsid w:val="FCBF0E55"/>
    <w:rsid w:val="FD1EC79F"/>
    <w:rsid w:val="FD661357"/>
    <w:rsid w:val="FDF3622D"/>
    <w:rsid w:val="FE1BD8BF"/>
    <w:rsid w:val="FE3F8DB9"/>
    <w:rsid w:val="FE77F456"/>
    <w:rsid w:val="FECFFF92"/>
    <w:rsid w:val="FEF39F24"/>
    <w:rsid w:val="FF9FF837"/>
    <w:rsid w:val="FFAD37E5"/>
    <w:rsid w:val="FFBEC56A"/>
    <w:rsid w:val="FFC79609"/>
    <w:rsid w:val="FFD783A1"/>
    <w:rsid w:val="FFD83BD6"/>
    <w:rsid w:val="FFDB47DB"/>
    <w:rsid w:val="FFDDC2DC"/>
    <w:rsid w:val="FFDF4CDE"/>
    <w:rsid w:val="FFDFD5D3"/>
    <w:rsid w:val="FFE6752D"/>
    <w:rsid w:val="FFFD938C"/>
    <w:rsid w:val="FFFFD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</w:style>
  <w:style w:type="paragraph" w:styleId="3">
    <w:name w:val="Body Text Indent"/>
    <w:basedOn w:val="1"/>
    <w:next w:val="2"/>
    <w:qFormat/>
    <w:uiPriority w:val="0"/>
    <w:pPr>
      <w:ind w:firstLine="480"/>
    </w:pPr>
    <w:rPr>
      <w:snapToGrid w:val="0"/>
      <w:sz w:val="24"/>
    </w:rPr>
  </w:style>
  <w:style w:type="paragraph" w:styleId="4">
    <w:name w:val="annotation text"/>
    <w:basedOn w:val="1"/>
    <w:link w:val="11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Body Text"/>
    <w:basedOn w:val="1"/>
    <w:next w:val="1"/>
    <w:qFormat/>
    <w:uiPriority w:val="0"/>
    <w:rPr>
      <w:rFonts w:ascii="楷体_GB2312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-SA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批注文字 Char"/>
    <w:basedOn w:val="9"/>
    <w:link w:val="4"/>
    <w:qFormat/>
    <w:uiPriority w:val="0"/>
    <w:rPr>
      <w:rFonts w:ascii="??" w:hAnsi="??" w:eastAsia="宋体" w:cs="??"/>
      <w:sz w:val="32"/>
      <w:szCs w:val="21"/>
    </w:rPr>
  </w:style>
  <w:style w:type="character" w:customStyle="1" w:styleId="12">
    <w:name w:val="font2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0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1982</Words>
  <Characters>2544</Characters>
  <Lines>0</Lines>
  <Paragraphs>0</Paragraphs>
  <TotalTime>57</TotalTime>
  <ScaleCrop>false</ScaleCrop>
  <LinksUpToDate>false</LinksUpToDate>
  <CharactersWithSpaces>2655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2020-08-21T01:20:00Z</dcterms:created>
  <dc:creator>NTKO</dc:creator>
  <cp:lastModifiedBy>uos</cp:lastModifiedBy>
  <cp:lastPrinted>2026-06-08T18:18:00Z</cp:lastPrinted>
  <dcterms:modified xsi:type="dcterms:W3CDTF">2026-10-14T14:46:32Z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