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361" w:firstLineChars="100"/>
        <w:jc w:val="center"/>
        <w:rPr>
          <w:rFonts w:hint="eastAsia"/>
          <w:b/>
          <w:color w:val="0000FF"/>
          <w:sz w:val="36"/>
          <w:szCs w:val="36"/>
        </w:rPr>
      </w:pPr>
      <w:r>
        <w:rPr>
          <w:rFonts w:hint="default"/>
          <w:b/>
          <w:color w:val="auto"/>
          <w:sz w:val="36"/>
          <w:szCs w:val="36"/>
          <w:shd w:val="clear" w:color="auto" w:fill="auto"/>
          <w:lang w:val="en" w:eastAsia="zh-CN"/>
        </w:rPr>
        <w:t>202</w:t>
      </w:r>
      <w:r>
        <w:rPr>
          <w:rFonts w:hint="eastAsia"/>
          <w:b/>
          <w:color w:val="auto"/>
          <w:sz w:val="36"/>
          <w:szCs w:val="36"/>
          <w:shd w:val="clear" w:color="auto" w:fill="auto"/>
          <w:lang w:val="en-US" w:eastAsia="zh-CN"/>
        </w:rPr>
        <w:t>6</w:t>
      </w:r>
      <w:r>
        <w:rPr>
          <w:rFonts w:hint="default"/>
          <w:b/>
          <w:color w:val="auto"/>
          <w:sz w:val="36"/>
          <w:szCs w:val="36"/>
          <w:shd w:val="clear" w:color="auto" w:fill="auto"/>
          <w:lang w:val="en" w:eastAsia="zh-CN"/>
        </w:rPr>
        <w:t>年1-</w:t>
      </w:r>
      <w:r>
        <w:rPr>
          <w:rFonts w:hint="eastAsia"/>
          <w:b/>
          <w:color w:val="auto"/>
          <w:sz w:val="36"/>
          <w:szCs w:val="36"/>
          <w:shd w:val="clear" w:color="auto" w:fill="auto"/>
          <w:lang w:val="en-US" w:eastAsia="zh-CN"/>
        </w:rPr>
        <w:t>8</w:t>
      </w:r>
      <w:r>
        <w:rPr>
          <w:rFonts w:hint="default"/>
          <w:b/>
          <w:color w:val="auto"/>
          <w:sz w:val="36"/>
          <w:szCs w:val="36"/>
          <w:shd w:val="clear" w:color="auto" w:fill="auto"/>
          <w:lang w:val="en" w:eastAsia="zh-CN"/>
        </w:rPr>
        <w:t>月</w:t>
      </w:r>
      <w:r>
        <w:rPr>
          <w:rFonts w:hint="eastAsia"/>
          <w:b/>
          <w:color w:val="auto"/>
          <w:sz w:val="36"/>
          <w:szCs w:val="36"/>
          <w:shd w:val="clear" w:color="auto" w:fill="auto"/>
          <w:lang w:val="en" w:eastAsia="zh-CN"/>
        </w:rPr>
        <w:t>密云区</w:t>
      </w:r>
      <w:r>
        <w:rPr>
          <w:rFonts w:hint="eastAsia"/>
          <w:b/>
          <w:color w:val="auto"/>
          <w:sz w:val="36"/>
          <w:szCs w:val="36"/>
          <w:shd w:val="clear" w:color="auto" w:fill="auto"/>
        </w:rPr>
        <w:t>社会消费品零售总额情况</w:t>
      </w:r>
    </w:p>
    <w:tbl>
      <w:tblPr>
        <w:tblStyle w:val="6"/>
        <w:tblW w:w="11820" w:type="dxa"/>
        <w:tblInd w:w="567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52"/>
        <w:gridCol w:w="3414"/>
        <w:gridCol w:w="355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</w:trPr>
        <w:tc>
          <w:tcPr>
            <w:tcW w:w="4852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项  目</w:t>
            </w:r>
          </w:p>
        </w:tc>
        <w:tc>
          <w:tcPr>
            <w:tcW w:w="3414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宋体" w:hAnsi="宋体" w:cs="宋体"/>
                <w:kern w:val="0"/>
                <w:sz w:val="24"/>
                <w:lang w:val="en" w:eastAsia="zh-CN"/>
              </w:rPr>
            </w:pPr>
            <w:r>
              <w:rPr>
                <w:rFonts w:hint="default" w:ascii="宋体" w:hAnsi="宋体" w:cs="宋体"/>
                <w:kern w:val="0"/>
                <w:sz w:val="24"/>
                <w:lang w:val="en" w:eastAsia="zh-CN"/>
              </w:rPr>
              <w:t>202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6</w:t>
            </w:r>
            <w:r>
              <w:rPr>
                <w:rFonts w:hint="default" w:ascii="宋体" w:hAnsi="宋体" w:cs="宋体"/>
                <w:kern w:val="0"/>
                <w:sz w:val="24"/>
                <w:lang w:val="en" w:eastAsia="zh-CN"/>
              </w:rPr>
              <w:t>年1-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8</w:t>
            </w:r>
            <w:r>
              <w:rPr>
                <w:rFonts w:hint="default" w:ascii="宋体" w:hAnsi="宋体" w:cs="宋体"/>
                <w:kern w:val="0"/>
                <w:sz w:val="24"/>
                <w:lang w:val="en" w:eastAsia="zh-CN"/>
              </w:rPr>
              <w:t>月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cs="宋体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(万元)</w:t>
            </w:r>
          </w:p>
        </w:tc>
        <w:tc>
          <w:tcPr>
            <w:tcW w:w="3554" w:type="dxa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同比增长（%）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852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社会消费品零售总额</w:t>
            </w:r>
          </w:p>
        </w:tc>
        <w:tc>
          <w:tcPr>
            <w:tcW w:w="3414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right"/>
              <w:textAlignment w:val="center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  <w:t>105921</w:t>
            </w:r>
            <w:r>
              <w:rPr>
                <w:rFonts w:hint="eastAsia" w:ascii="宋体" w:hAnsi="宋体" w:cs="宋体"/>
                <w:b/>
                <w:bCs w:val="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  <w:t xml:space="preserve">  </w:t>
            </w:r>
          </w:p>
        </w:tc>
        <w:tc>
          <w:tcPr>
            <w:tcW w:w="35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1.0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852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按消费形态分</w:t>
            </w:r>
          </w:p>
        </w:tc>
        <w:tc>
          <w:tcPr>
            <w:tcW w:w="3414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righ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35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righ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852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商品零售</w:t>
            </w:r>
          </w:p>
        </w:tc>
        <w:tc>
          <w:tcPr>
            <w:tcW w:w="3414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99273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35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0.8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852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餐饮收入</w:t>
            </w:r>
          </w:p>
        </w:tc>
        <w:tc>
          <w:tcPr>
            <w:tcW w:w="3414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4"/>
                <w:szCs w:val="24"/>
                <w:lang w:eastAsia="zh-CN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6648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3554" w:type="dxa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 w:val="0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8" w:hRule="atLeast"/>
        </w:trPr>
        <w:tc>
          <w:tcPr>
            <w:tcW w:w="11820" w:type="dxa"/>
            <w:gridSpan w:val="3"/>
            <w:tcBorders>
              <w:top w:val="single" w:color="auto" w:sz="8" w:space="0"/>
              <w:left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楷体_GB2312" w:hAnsi="宋体" w:eastAsia="楷体_GB2312" w:cs="宋体"/>
                <w:sz w:val="24"/>
              </w:rPr>
            </w:pPr>
            <w:r>
              <w:rPr>
                <w:rFonts w:hint="eastAsia" w:ascii="楷体_GB2312" w:hAnsi="宋体" w:eastAsia="楷体_GB2312" w:cs="宋体"/>
                <w:sz w:val="24"/>
              </w:rPr>
              <w:t>注释：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楷体_GB2312" w:hAnsi="宋体" w:eastAsia="楷体_GB2312" w:cs="宋体"/>
                <w:b/>
                <w:bCs/>
                <w:color w:val="auto"/>
                <w:kern w:val="0"/>
                <w:sz w:val="24"/>
                <w:lang w:val="en-US" w:eastAsia="zh-CN"/>
              </w:rPr>
              <w:t>1.</w:t>
            </w:r>
            <w:r>
              <w:rPr>
                <w:rFonts w:hint="eastAsia" w:ascii="楷体_GB2312" w:hAnsi="宋体" w:eastAsia="楷体_GB2312" w:cs="宋体"/>
                <w:b/>
                <w:bCs/>
                <w:color w:val="auto"/>
                <w:kern w:val="0"/>
                <w:sz w:val="24"/>
              </w:rPr>
              <w:t>统计范围：</w:t>
            </w:r>
            <w:r>
              <w:rPr>
                <w:rFonts w:hint="eastAsia" w:ascii="楷体_GB2312" w:hAnsi="宋体" w:eastAsia="楷体_GB2312" w:cs="宋体"/>
                <w:color w:val="auto"/>
                <w:kern w:val="0"/>
                <w:sz w:val="24"/>
              </w:rPr>
              <w:t>本区地域内</w:t>
            </w:r>
            <w:r>
              <w:rPr>
                <w:rFonts w:hint="eastAsia" w:ascii="楷体_GB2312" w:hAnsi="宋体" w:eastAsia="楷体_GB2312" w:cs="宋体"/>
                <w:color w:val="auto"/>
                <w:kern w:val="0"/>
                <w:sz w:val="24"/>
                <w:lang w:eastAsia="zh-CN"/>
              </w:rPr>
              <w:t>从事商品零售活动或提供</w:t>
            </w:r>
            <w:r>
              <w:rPr>
                <w:rFonts w:hint="eastAsia" w:ascii="楷体_GB2312" w:hAnsi="宋体" w:eastAsia="楷体_GB2312" w:cs="宋体"/>
                <w:color w:val="auto"/>
                <w:kern w:val="0"/>
                <w:sz w:val="24"/>
              </w:rPr>
              <w:t>餐饮服务活动的法人单位、产业活动单位和个体经营户。</w:t>
            </w:r>
            <w:r>
              <w:rPr>
                <w:rFonts w:hint="eastAsia" w:ascii="楷体_GB2312" w:hAnsi="宋体" w:eastAsia="楷体_GB2312" w:cs="宋体"/>
                <w:color w:val="auto"/>
                <w:kern w:val="0"/>
                <w:sz w:val="24"/>
              </w:rPr>
              <w:br w:type="textWrapping"/>
            </w:r>
            <w:r>
              <w:rPr>
                <w:rFonts w:hint="eastAsia" w:ascii="楷体_GB2312" w:hAnsi="宋体" w:eastAsia="楷体_GB2312" w:cs="宋体"/>
                <w:b/>
                <w:bCs/>
                <w:color w:val="auto"/>
                <w:kern w:val="0"/>
                <w:sz w:val="24"/>
                <w:lang w:val="en-US" w:eastAsia="zh-CN"/>
              </w:rPr>
              <w:t>2.</w:t>
            </w:r>
            <w:r>
              <w:rPr>
                <w:rFonts w:hint="eastAsia" w:ascii="楷体_GB2312" w:hAnsi="宋体" w:eastAsia="楷体_GB2312" w:cs="宋体"/>
                <w:b/>
                <w:bCs/>
                <w:color w:val="auto"/>
                <w:kern w:val="0"/>
                <w:sz w:val="24"/>
              </w:rPr>
              <w:t>采集渠道：</w:t>
            </w:r>
            <w:r>
              <w:rPr>
                <w:rFonts w:hint="eastAsia" w:ascii="楷体_GB2312" w:hAnsi="宋体" w:eastAsia="楷体_GB2312" w:cs="宋体"/>
                <w:color w:val="auto"/>
                <w:kern w:val="0"/>
                <w:sz w:val="24"/>
                <w:szCs w:val="24"/>
                <w:lang w:val="en-US" w:eastAsia="zh-CN" w:bidi="ar-SA"/>
              </w:rPr>
              <w:t>按照《批发和零售业统计报表制度》《住宿和餐饮业统计报表制度》要求: ①限额以上批发和零售业、住宿和餐饮业企业（单位、个体户）通过联网直报系统上报统计数据；②限额以下批发和零售业、住宿和餐饮业企业（单位、个体户）通过抽样调查获取数据，进而推算总体。限额以上标准：①批发业：年主营业务收入2000万元及以上；②零售业：年主营业务收入500万元及以上；③住宿业：年主营业务收入200万元及以上；④餐饮业：年主营业务收入200万元及以上。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rPr>
                <w:rFonts w:hint="eastAsia" w:ascii="楷体_GB2312" w:hAnsi="宋体" w:eastAsia="楷体_GB2312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楷体_GB2312" w:hAnsi="宋体" w:eastAsia="楷体_GB2312" w:cs="宋体"/>
                <w:b/>
                <w:bCs/>
                <w:color w:val="auto"/>
                <w:kern w:val="0"/>
                <w:sz w:val="24"/>
                <w:lang w:val="en-US" w:eastAsia="zh-CN"/>
              </w:rPr>
              <w:t>3.</w:t>
            </w:r>
            <w:r>
              <w:rPr>
                <w:rFonts w:hint="eastAsia" w:ascii="楷体_GB2312" w:hAnsi="宋体" w:eastAsia="楷体_GB2312" w:cs="宋体"/>
                <w:b/>
                <w:bCs/>
                <w:color w:val="auto"/>
                <w:kern w:val="0"/>
                <w:sz w:val="24"/>
              </w:rPr>
              <w:t>主要统计指标解释：</w:t>
            </w:r>
            <w:r>
              <w:rPr>
                <w:rFonts w:hint="eastAsia" w:ascii="楷体_GB2312" w:hAnsi="宋体" w:eastAsia="楷体_GB2312" w:cs="宋体"/>
                <w:color w:val="auto"/>
                <w:kern w:val="0"/>
                <w:sz w:val="24"/>
                <w:szCs w:val="24"/>
                <w:lang w:val="en-US" w:eastAsia="zh-CN" w:bidi="ar-SA"/>
              </w:rPr>
              <w:t>社会消费品零售总额：指企业（单位、个体户）通过交易售给个人、社会集团非生产、非经营用的实物商品金额，以及提供餐饮服务所取得的收入金额。 　　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rPr>
                <w:rFonts w:hint="eastAsia" w:ascii="楷体_GB2312" w:hAnsi="宋体" w:eastAsia="楷体_GB2312" w:cs="宋体"/>
                <w:sz w:val="24"/>
              </w:rPr>
            </w:pP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jc w:val="center"/>
        <w:outlineLvl w:val="9"/>
        <w:rPr>
          <w:rFonts w:hint="default"/>
          <w:b/>
          <w:color w:val="0000FF"/>
          <w:sz w:val="36"/>
          <w:szCs w:val="36"/>
          <w:highlight w:val="none"/>
          <w:lang w:val="en" w:eastAsia="zh-CN"/>
        </w:rPr>
      </w:pPr>
    </w:p>
    <w:p>
      <w:pPr>
        <w:pStyle w:val="2"/>
        <w:rPr>
          <w:rFonts w:hint="default"/>
          <w:b/>
          <w:color w:val="0000FF"/>
          <w:sz w:val="36"/>
          <w:szCs w:val="36"/>
          <w:highlight w:val="none"/>
          <w:lang w:val="en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jc w:val="center"/>
        <w:outlineLvl w:val="9"/>
        <w:rPr>
          <w:rFonts w:hint="eastAsia"/>
          <w:b/>
          <w:color w:val="0000FF"/>
          <w:sz w:val="36"/>
          <w:szCs w:val="36"/>
          <w:lang w:val="en-US" w:eastAsia="zh-CN"/>
        </w:rPr>
      </w:pPr>
    </w:p>
    <w:sectPr>
      <w:headerReference r:id="rId3" w:type="default"/>
      <w:pgSz w:w="16838" w:h="11906" w:orient="landscape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??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345EF1"/>
    <w:rsid w:val="01DE4569"/>
    <w:rsid w:val="01EA0DDF"/>
    <w:rsid w:val="021113C5"/>
    <w:rsid w:val="02383BF7"/>
    <w:rsid w:val="04B3291D"/>
    <w:rsid w:val="05144DE3"/>
    <w:rsid w:val="056063CD"/>
    <w:rsid w:val="0638629E"/>
    <w:rsid w:val="063865C7"/>
    <w:rsid w:val="065A435E"/>
    <w:rsid w:val="0693162F"/>
    <w:rsid w:val="06BD48AA"/>
    <w:rsid w:val="08FE4A5D"/>
    <w:rsid w:val="09350139"/>
    <w:rsid w:val="0979482C"/>
    <w:rsid w:val="09B712A8"/>
    <w:rsid w:val="0AC36A44"/>
    <w:rsid w:val="0B55531A"/>
    <w:rsid w:val="0B7B2A58"/>
    <w:rsid w:val="0BD8075B"/>
    <w:rsid w:val="0BFA39C5"/>
    <w:rsid w:val="0C683C8D"/>
    <w:rsid w:val="0CA36702"/>
    <w:rsid w:val="0E4220D5"/>
    <w:rsid w:val="0E927B34"/>
    <w:rsid w:val="0EDD0097"/>
    <w:rsid w:val="103C425B"/>
    <w:rsid w:val="103E310E"/>
    <w:rsid w:val="118634F1"/>
    <w:rsid w:val="12917D5A"/>
    <w:rsid w:val="13BA65BA"/>
    <w:rsid w:val="13C96186"/>
    <w:rsid w:val="13DB96C9"/>
    <w:rsid w:val="141623DE"/>
    <w:rsid w:val="14294E2D"/>
    <w:rsid w:val="1457468C"/>
    <w:rsid w:val="163459DA"/>
    <w:rsid w:val="167A78DA"/>
    <w:rsid w:val="169355EC"/>
    <w:rsid w:val="172B5C42"/>
    <w:rsid w:val="176149FE"/>
    <w:rsid w:val="19715261"/>
    <w:rsid w:val="1A21665C"/>
    <w:rsid w:val="1AD30A1E"/>
    <w:rsid w:val="1AD8402B"/>
    <w:rsid w:val="1B0B13DC"/>
    <w:rsid w:val="1B122FB6"/>
    <w:rsid w:val="1BCD0481"/>
    <w:rsid w:val="1C0E5505"/>
    <w:rsid w:val="1C276350"/>
    <w:rsid w:val="1C56369B"/>
    <w:rsid w:val="1CD46D9A"/>
    <w:rsid w:val="1D8D5B77"/>
    <w:rsid w:val="1D98136E"/>
    <w:rsid w:val="1DFB1785"/>
    <w:rsid w:val="1EB84662"/>
    <w:rsid w:val="1FFF4CB5"/>
    <w:rsid w:val="21382369"/>
    <w:rsid w:val="21784A05"/>
    <w:rsid w:val="22DB4243"/>
    <w:rsid w:val="23543D99"/>
    <w:rsid w:val="236F1C12"/>
    <w:rsid w:val="24683A54"/>
    <w:rsid w:val="248C2EED"/>
    <w:rsid w:val="256C6363"/>
    <w:rsid w:val="25A15611"/>
    <w:rsid w:val="25E84811"/>
    <w:rsid w:val="26A37460"/>
    <w:rsid w:val="27174A9F"/>
    <w:rsid w:val="27342A28"/>
    <w:rsid w:val="285E57AA"/>
    <w:rsid w:val="28DD1ED1"/>
    <w:rsid w:val="29303B10"/>
    <w:rsid w:val="29763C32"/>
    <w:rsid w:val="29AD74D8"/>
    <w:rsid w:val="29FB5780"/>
    <w:rsid w:val="2A94053E"/>
    <w:rsid w:val="2BEF4705"/>
    <w:rsid w:val="2C644628"/>
    <w:rsid w:val="2C6C1E73"/>
    <w:rsid w:val="2D076D14"/>
    <w:rsid w:val="2E29008C"/>
    <w:rsid w:val="2E2B4EE6"/>
    <w:rsid w:val="2E3132B3"/>
    <w:rsid w:val="2E6C7B7D"/>
    <w:rsid w:val="2EC71D67"/>
    <w:rsid w:val="2ED36AB8"/>
    <w:rsid w:val="2EFD0F86"/>
    <w:rsid w:val="2F457D92"/>
    <w:rsid w:val="2F5B14A5"/>
    <w:rsid w:val="2F8D73F0"/>
    <w:rsid w:val="2FBDC9F1"/>
    <w:rsid w:val="315F1FAD"/>
    <w:rsid w:val="31767B07"/>
    <w:rsid w:val="32326294"/>
    <w:rsid w:val="32812E6E"/>
    <w:rsid w:val="32A7716C"/>
    <w:rsid w:val="33661F81"/>
    <w:rsid w:val="338177D2"/>
    <w:rsid w:val="33EA3D20"/>
    <w:rsid w:val="349C766D"/>
    <w:rsid w:val="34C40933"/>
    <w:rsid w:val="352C3131"/>
    <w:rsid w:val="36381881"/>
    <w:rsid w:val="364D3747"/>
    <w:rsid w:val="368A245A"/>
    <w:rsid w:val="36B82B10"/>
    <w:rsid w:val="36BE5A08"/>
    <w:rsid w:val="37EF20A6"/>
    <w:rsid w:val="38AC4A90"/>
    <w:rsid w:val="392A6086"/>
    <w:rsid w:val="393A7BCB"/>
    <w:rsid w:val="39C8393A"/>
    <w:rsid w:val="3ACA405B"/>
    <w:rsid w:val="3AEE30EC"/>
    <w:rsid w:val="3B4C203F"/>
    <w:rsid w:val="3B505972"/>
    <w:rsid w:val="3C094926"/>
    <w:rsid w:val="3CA06950"/>
    <w:rsid w:val="3CD34D5E"/>
    <w:rsid w:val="3DF66AB0"/>
    <w:rsid w:val="3E5544D7"/>
    <w:rsid w:val="3ED06649"/>
    <w:rsid w:val="3EFB9B05"/>
    <w:rsid w:val="3FA684FA"/>
    <w:rsid w:val="3FAB96BE"/>
    <w:rsid w:val="3FBF1369"/>
    <w:rsid w:val="3FDB5DF1"/>
    <w:rsid w:val="3FDED793"/>
    <w:rsid w:val="3FDF4110"/>
    <w:rsid w:val="3FF311AD"/>
    <w:rsid w:val="3FFE10C8"/>
    <w:rsid w:val="401D61C0"/>
    <w:rsid w:val="414B607C"/>
    <w:rsid w:val="41A3549E"/>
    <w:rsid w:val="426042E3"/>
    <w:rsid w:val="42D90AF2"/>
    <w:rsid w:val="440C601A"/>
    <w:rsid w:val="441A04D4"/>
    <w:rsid w:val="46216826"/>
    <w:rsid w:val="46FF42F7"/>
    <w:rsid w:val="475234D8"/>
    <w:rsid w:val="476A13E8"/>
    <w:rsid w:val="47790412"/>
    <w:rsid w:val="47A86E6D"/>
    <w:rsid w:val="47E027CA"/>
    <w:rsid w:val="47FEAB4D"/>
    <w:rsid w:val="489B5BDB"/>
    <w:rsid w:val="4937785D"/>
    <w:rsid w:val="4AE90A8D"/>
    <w:rsid w:val="4B3D5C27"/>
    <w:rsid w:val="4B4551F2"/>
    <w:rsid w:val="4C2220D4"/>
    <w:rsid w:val="4C6D69D1"/>
    <w:rsid w:val="4CEB2530"/>
    <w:rsid w:val="4D1BC49A"/>
    <w:rsid w:val="4D8016E5"/>
    <w:rsid w:val="4D863A49"/>
    <w:rsid w:val="4D9327C0"/>
    <w:rsid w:val="4DC718E7"/>
    <w:rsid w:val="4DD01001"/>
    <w:rsid w:val="4E665BA6"/>
    <w:rsid w:val="4F024081"/>
    <w:rsid w:val="4F560168"/>
    <w:rsid w:val="4F5746E4"/>
    <w:rsid w:val="4F6D24BE"/>
    <w:rsid w:val="4FF703F7"/>
    <w:rsid w:val="50D8657E"/>
    <w:rsid w:val="51512E17"/>
    <w:rsid w:val="526977BB"/>
    <w:rsid w:val="52FB1BC2"/>
    <w:rsid w:val="53EF48C2"/>
    <w:rsid w:val="53F57A86"/>
    <w:rsid w:val="54895C40"/>
    <w:rsid w:val="54F42AFF"/>
    <w:rsid w:val="55600A1D"/>
    <w:rsid w:val="5567A25D"/>
    <w:rsid w:val="55B05FB6"/>
    <w:rsid w:val="560D74DF"/>
    <w:rsid w:val="567412A4"/>
    <w:rsid w:val="568A0C6F"/>
    <w:rsid w:val="56BB328C"/>
    <w:rsid w:val="57370DD3"/>
    <w:rsid w:val="57605D7D"/>
    <w:rsid w:val="57B35CE2"/>
    <w:rsid w:val="58913AC3"/>
    <w:rsid w:val="58E67C05"/>
    <w:rsid w:val="590F83E0"/>
    <w:rsid w:val="59375F5C"/>
    <w:rsid w:val="59630F03"/>
    <w:rsid w:val="597F8F05"/>
    <w:rsid w:val="5A055849"/>
    <w:rsid w:val="5A271408"/>
    <w:rsid w:val="5B73140F"/>
    <w:rsid w:val="5C9300D0"/>
    <w:rsid w:val="5CB32703"/>
    <w:rsid w:val="5CD35BE5"/>
    <w:rsid w:val="5D0004C6"/>
    <w:rsid w:val="5D4E0726"/>
    <w:rsid w:val="5D8F6061"/>
    <w:rsid w:val="5DFBF734"/>
    <w:rsid w:val="5FBF9E10"/>
    <w:rsid w:val="5FBFBE8E"/>
    <w:rsid w:val="5FC37593"/>
    <w:rsid w:val="5FDF0B1C"/>
    <w:rsid w:val="60FA610A"/>
    <w:rsid w:val="613D007B"/>
    <w:rsid w:val="61C65AFE"/>
    <w:rsid w:val="62578C3C"/>
    <w:rsid w:val="62612361"/>
    <w:rsid w:val="639114E6"/>
    <w:rsid w:val="65797765"/>
    <w:rsid w:val="663F737A"/>
    <w:rsid w:val="675F8F65"/>
    <w:rsid w:val="67927ED5"/>
    <w:rsid w:val="67CB7260"/>
    <w:rsid w:val="67FD4902"/>
    <w:rsid w:val="687C1C1C"/>
    <w:rsid w:val="699E7C2F"/>
    <w:rsid w:val="69BE7033"/>
    <w:rsid w:val="69F16919"/>
    <w:rsid w:val="6A294847"/>
    <w:rsid w:val="6A65276C"/>
    <w:rsid w:val="6AC47901"/>
    <w:rsid w:val="6AFF3DA2"/>
    <w:rsid w:val="6B320384"/>
    <w:rsid w:val="6C02332D"/>
    <w:rsid w:val="6C0F7A99"/>
    <w:rsid w:val="6C257DC9"/>
    <w:rsid w:val="6C4B421F"/>
    <w:rsid w:val="6D5A4B7F"/>
    <w:rsid w:val="6EA39D6C"/>
    <w:rsid w:val="6F9D743A"/>
    <w:rsid w:val="6FBF1FE6"/>
    <w:rsid w:val="6FC7354D"/>
    <w:rsid w:val="6FFEDE62"/>
    <w:rsid w:val="6FFF682D"/>
    <w:rsid w:val="6FFFDF34"/>
    <w:rsid w:val="71080D89"/>
    <w:rsid w:val="7175080B"/>
    <w:rsid w:val="7186F4B4"/>
    <w:rsid w:val="726A1098"/>
    <w:rsid w:val="727AA7EB"/>
    <w:rsid w:val="737B2704"/>
    <w:rsid w:val="73A6F0C8"/>
    <w:rsid w:val="73CC0211"/>
    <w:rsid w:val="73EFABBB"/>
    <w:rsid w:val="741F23A4"/>
    <w:rsid w:val="74501C96"/>
    <w:rsid w:val="757EAA3D"/>
    <w:rsid w:val="75DFCC41"/>
    <w:rsid w:val="75E61BEE"/>
    <w:rsid w:val="75EE766E"/>
    <w:rsid w:val="75F745C8"/>
    <w:rsid w:val="7607511D"/>
    <w:rsid w:val="765833C3"/>
    <w:rsid w:val="77166765"/>
    <w:rsid w:val="7720627A"/>
    <w:rsid w:val="778962BC"/>
    <w:rsid w:val="779A77AC"/>
    <w:rsid w:val="77E9D9C2"/>
    <w:rsid w:val="77F30C7B"/>
    <w:rsid w:val="78B553DE"/>
    <w:rsid w:val="78E85C94"/>
    <w:rsid w:val="791B108A"/>
    <w:rsid w:val="797D4315"/>
    <w:rsid w:val="7A100E94"/>
    <w:rsid w:val="7AAF36B2"/>
    <w:rsid w:val="7AC2683B"/>
    <w:rsid w:val="7AF61453"/>
    <w:rsid w:val="7B423B59"/>
    <w:rsid w:val="7B6FE944"/>
    <w:rsid w:val="7BA3EC91"/>
    <w:rsid w:val="7BE787CF"/>
    <w:rsid w:val="7C58388D"/>
    <w:rsid w:val="7C7A5981"/>
    <w:rsid w:val="7CF5D5DB"/>
    <w:rsid w:val="7D7EC8CD"/>
    <w:rsid w:val="7DFF7F9D"/>
    <w:rsid w:val="7E282AF5"/>
    <w:rsid w:val="7E3D82B6"/>
    <w:rsid w:val="7E7F0693"/>
    <w:rsid w:val="7EBE223A"/>
    <w:rsid w:val="7ED92472"/>
    <w:rsid w:val="7ED99CC2"/>
    <w:rsid w:val="7EDF6EB8"/>
    <w:rsid w:val="7EE580AA"/>
    <w:rsid w:val="7EEF0D62"/>
    <w:rsid w:val="7EFC7213"/>
    <w:rsid w:val="7F1879BC"/>
    <w:rsid w:val="7F3A5975"/>
    <w:rsid w:val="7F4C2D06"/>
    <w:rsid w:val="7F5E5D34"/>
    <w:rsid w:val="7FD91605"/>
    <w:rsid w:val="7FFF1899"/>
    <w:rsid w:val="81EB3C3A"/>
    <w:rsid w:val="8CDA845A"/>
    <w:rsid w:val="8ECFFD56"/>
    <w:rsid w:val="8FDD6C5D"/>
    <w:rsid w:val="95CB16DE"/>
    <w:rsid w:val="99B77EE0"/>
    <w:rsid w:val="9E7B6197"/>
    <w:rsid w:val="9FED37BA"/>
    <w:rsid w:val="A1F996D1"/>
    <w:rsid w:val="AB6F98F3"/>
    <w:rsid w:val="B7799B9E"/>
    <w:rsid w:val="B7FF7374"/>
    <w:rsid w:val="BB9F279F"/>
    <w:rsid w:val="BBBEF984"/>
    <w:rsid w:val="BCB190C7"/>
    <w:rsid w:val="BD7F112E"/>
    <w:rsid w:val="BDF6F2E2"/>
    <w:rsid w:val="BEBE2FB3"/>
    <w:rsid w:val="BF69E885"/>
    <w:rsid w:val="BFB650B6"/>
    <w:rsid w:val="C6FCE371"/>
    <w:rsid w:val="C72F571B"/>
    <w:rsid w:val="C7F7F066"/>
    <w:rsid w:val="CBFF8A60"/>
    <w:rsid w:val="CD3B0D55"/>
    <w:rsid w:val="CDD3AF60"/>
    <w:rsid w:val="D57D44D0"/>
    <w:rsid w:val="D77C3604"/>
    <w:rsid w:val="D7EE2A06"/>
    <w:rsid w:val="DA77DE6A"/>
    <w:rsid w:val="DBB74874"/>
    <w:rsid w:val="DDF6AF67"/>
    <w:rsid w:val="DF67A038"/>
    <w:rsid w:val="DF7BDF92"/>
    <w:rsid w:val="DF8DE048"/>
    <w:rsid w:val="DFAB23FE"/>
    <w:rsid w:val="DFAF1A6C"/>
    <w:rsid w:val="DFB724C3"/>
    <w:rsid w:val="DFBFE4DB"/>
    <w:rsid w:val="DFFCAA03"/>
    <w:rsid w:val="E2FFA600"/>
    <w:rsid w:val="E7DD7C91"/>
    <w:rsid w:val="E7F7B4E4"/>
    <w:rsid w:val="E7FDA2F2"/>
    <w:rsid w:val="EA6790F0"/>
    <w:rsid w:val="EBEF1CA0"/>
    <w:rsid w:val="EBF5BF5A"/>
    <w:rsid w:val="EDFE27A9"/>
    <w:rsid w:val="EE5B9157"/>
    <w:rsid w:val="EE7BA821"/>
    <w:rsid w:val="EEFF3E89"/>
    <w:rsid w:val="EF7D7BB4"/>
    <w:rsid w:val="EF7F12D6"/>
    <w:rsid w:val="EF99AF02"/>
    <w:rsid w:val="F047853D"/>
    <w:rsid w:val="F2ECBDBB"/>
    <w:rsid w:val="F4C7C781"/>
    <w:rsid w:val="F5FF6C02"/>
    <w:rsid w:val="F69F3012"/>
    <w:rsid w:val="F6FE7D1F"/>
    <w:rsid w:val="F77E2CBB"/>
    <w:rsid w:val="F7AB5BD3"/>
    <w:rsid w:val="F7B564CC"/>
    <w:rsid w:val="F7BFE11D"/>
    <w:rsid w:val="F7F25219"/>
    <w:rsid w:val="F7FEBE30"/>
    <w:rsid w:val="FAFF5057"/>
    <w:rsid w:val="FB7704E9"/>
    <w:rsid w:val="FBBD6810"/>
    <w:rsid w:val="FBCD7563"/>
    <w:rsid w:val="FBDF6E2B"/>
    <w:rsid w:val="FBF3580F"/>
    <w:rsid w:val="FBFF326E"/>
    <w:rsid w:val="FD661357"/>
    <w:rsid w:val="FDF3622D"/>
    <w:rsid w:val="FE1BD8BF"/>
    <w:rsid w:val="FE3F8DB9"/>
    <w:rsid w:val="FE77F456"/>
    <w:rsid w:val="FECFFF92"/>
    <w:rsid w:val="FEF39F24"/>
    <w:rsid w:val="FF9FF837"/>
    <w:rsid w:val="FFAD37E5"/>
    <w:rsid w:val="FFBEC56A"/>
    <w:rsid w:val="FFD783A1"/>
    <w:rsid w:val="FFD83BD6"/>
    <w:rsid w:val="FFDB47DB"/>
    <w:rsid w:val="FFDDC2DC"/>
    <w:rsid w:val="FFDF4CDE"/>
    <w:rsid w:val="FFDFD5D3"/>
    <w:rsid w:val="FFE6752D"/>
    <w:rsid w:val="FFFD938C"/>
    <w:rsid w:val="FFFFD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rPr>
      <w:rFonts w:ascii="楷体_GB2312"/>
    </w:rPr>
  </w:style>
  <w:style w:type="paragraph" w:styleId="3">
    <w:name w:val="annotation text"/>
    <w:basedOn w:val="1"/>
    <w:link w:val="9"/>
    <w:qFormat/>
    <w:uiPriority w:val="0"/>
    <w:pPr>
      <w:jc w:val="left"/>
    </w:pPr>
    <w:rPr>
      <w:rFonts w:ascii="??" w:hAnsi="??" w:eastAsia="宋体" w:cs="??"/>
      <w:sz w:val="32"/>
      <w:szCs w:val="21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rFonts w:ascii="微软雅黑" w:hAnsi="微软雅黑" w:eastAsia="微软雅黑" w:cs="微软雅黑"/>
      <w:kern w:val="0"/>
      <w:sz w:val="24"/>
      <w:lang w:val="en-US" w:eastAsia="zh-CN" w:bidi="ar-SA"/>
    </w:rPr>
  </w:style>
  <w:style w:type="character" w:styleId="8">
    <w:name w:val="Strong"/>
    <w:basedOn w:val="7"/>
    <w:qFormat/>
    <w:uiPriority w:val="0"/>
    <w:rPr>
      <w:b/>
    </w:rPr>
  </w:style>
  <w:style w:type="character" w:customStyle="1" w:styleId="9">
    <w:name w:val="批注文字 Char"/>
    <w:basedOn w:val="7"/>
    <w:link w:val="3"/>
    <w:qFormat/>
    <w:uiPriority w:val="0"/>
    <w:rPr>
      <w:rFonts w:ascii="??" w:hAnsi="??" w:eastAsia="宋体" w:cs="??"/>
      <w:sz w:val="32"/>
      <w:szCs w:val="21"/>
    </w:rPr>
  </w:style>
  <w:style w:type="character" w:customStyle="1" w:styleId="10">
    <w:name w:val="font21"/>
    <w:basedOn w:val="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1">
    <w:name w:val="font01"/>
    <w:basedOn w:val="7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1982</Words>
  <Characters>2544</Characters>
  <Lines>0</Lines>
  <Paragraphs>0</Paragraphs>
  <TotalTime>9</TotalTime>
  <ScaleCrop>false</ScaleCrop>
  <LinksUpToDate>false</LinksUpToDate>
  <CharactersWithSpaces>2655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2020-08-19T17:20:00Z</dcterms:created>
  <dc:creator>NTKO</dc:creator>
  <cp:lastModifiedBy>pcb6</cp:lastModifiedBy>
  <cp:lastPrinted>2025-02-01T22:35:00Z</cp:lastPrinted>
  <dcterms:modified xsi:type="dcterms:W3CDTF">2026-09-17T07:02:00Z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</Properties>
</file>