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both"/>
        <w:rPr>
          <w:rFonts w:hint="default"/>
          <w:b/>
          <w:color w:val="0000FF"/>
          <w:sz w:val="36"/>
          <w:szCs w:val="36"/>
          <w:lang w:val="en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rPr>
          <w:rFonts w:hint="eastAsia"/>
          <w:b/>
          <w:color w:val="0000FF"/>
          <w:sz w:val="36"/>
          <w:szCs w:val="36"/>
        </w:rPr>
      </w:pPr>
      <w:r>
        <w:rPr>
          <w:rFonts w:hint="default"/>
          <w:b/>
          <w:color w:val="auto"/>
          <w:sz w:val="36"/>
          <w:szCs w:val="36"/>
          <w:lang w:val="en" w:eastAsia="zh-CN"/>
        </w:rPr>
        <w:t>202</w:t>
      </w:r>
      <w:r>
        <w:rPr>
          <w:rFonts w:hint="eastAsia"/>
          <w:b/>
          <w:color w:val="auto"/>
          <w:sz w:val="36"/>
          <w:szCs w:val="36"/>
          <w:lang w:val="en-US" w:eastAsia="zh-CN"/>
        </w:rPr>
        <w:t>6</w:t>
      </w:r>
      <w:r>
        <w:rPr>
          <w:rFonts w:hint="default"/>
          <w:b/>
          <w:color w:val="auto"/>
          <w:sz w:val="36"/>
          <w:szCs w:val="36"/>
          <w:lang w:val="en" w:eastAsia="zh-CN"/>
        </w:rPr>
        <w:t>年1-</w:t>
      </w:r>
      <w:r>
        <w:rPr>
          <w:rFonts w:hint="eastAsia"/>
          <w:b/>
          <w:color w:val="auto"/>
          <w:sz w:val="36"/>
          <w:szCs w:val="36"/>
          <w:lang w:val="en-US" w:eastAsia="zh-CN"/>
        </w:rPr>
        <w:t>7</w:t>
      </w:r>
      <w:r>
        <w:rPr>
          <w:rFonts w:hint="default"/>
          <w:b/>
          <w:color w:val="auto"/>
          <w:sz w:val="36"/>
          <w:szCs w:val="36"/>
          <w:lang w:val="en" w:eastAsia="zh-CN"/>
        </w:rPr>
        <w:t>月</w:t>
      </w:r>
      <w:r>
        <w:rPr>
          <w:rFonts w:hint="eastAsia"/>
          <w:b/>
          <w:color w:val="auto"/>
          <w:sz w:val="36"/>
          <w:szCs w:val="36"/>
          <w:lang w:val="en" w:eastAsia="zh-CN"/>
        </w:rPr>
        <w:t>密云区</w:t>
      </w:r>
      <w:r>
        <w:rPr>
          <w:rFonts w:hint="eastAsia"/>
          <w:b/>
          <w:color w:val="auto"/>
          <w:sz w:val="36"/>
          <w:szCs w:val="36"/>
        </w:rPr>
        <w:t>房地产开发投资、销售情况</w:t>
      </w:r>
    </w:p>
    <w:tbl>
      <w:tblPr>
        <w:tblStyle w:val="6"/>
        <w:tblW w:w="845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2"/>
        <w:gridCol w:w="278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5672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  目</w:t>
            </w:r>
          </w:p>
        </w:tc>
        <w:tc>
          <w:tcPr>
            <w:tcW w:w="2781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同比增长（%）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5672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房地产开发投资</w:t>
            </w:r>
          </w:p>
        </w:tc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4.8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5672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商品房销售面积</w:t>
            </w:r>
          </w:p>
        </w:tc>
        <w:tc>
          <w:tcPr>
            <w:tcW w:w="2781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-4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9" w:hRule="atLeast"/>
          <w:jc w:val="center"/>
        </w:trPr>
        <w:tc>
          <w:tcPr>
            <w:tcW w:w="8453" w:type="dxa"/>
            <w:gridSpan w:val="2"/>
            <w:tcBorders>
              <w:top w:val="single" w:color="auto" w:sz="8" w:space="0"/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楷体_GB2312" w:hAnsi="宋体" w:eastAsia="楷体_GB2312" w:cs="宋体"/>
                <w:bCs/>
                <w:sz w:val="24"/>
              </w:rPr>
            </w:pPr>
            <w:r>
              <w:rPr>
                <w:rFonts w:hint="eastAsia" w:ascii="楷体_GB2312" w:hAnsi="宋体" w:eastAsia="楷体_GB2312" w:cs="宋体"/>
                <w:bCs/>
                <w:sz w:val="24"/>
              </w:rPr>
              <w:t>注释：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rPr>
                <w:rFonts w:hint="eastAsia" w:ascii="楷体_GB2312" w:hAnsi="宋体" w:eastAsia="楷体_GB2312" w:cs="宋体"/>
                <w:b w:val="0"/>
                <w:bCs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sz w:val="24"/>
              </w:rPr>
              <w:t>1</w:t>
            </w:r>
            <w:r>
              <w:rPr>
                <w:rFonts w:hint="eastAsia" w:ascii="楷体_GB2312" w:hAnsi="宋体" w:eastAsia="楷体_GB2312" w:cs="宋体"/>
                <w:b/>
                <w:bCs/>
                <w:sz w:val="24"/>
                <w:lang w:val="en-US" w:eastAsia="zh-CN"/>
              </w:rPr>
              <w:t>.</w:t>
            </w:r>
            <w:r>
              <w:rPr>
                <w:rFonts w:hint="eastAsia" w:ascii="楷体_GB2312" w:hAnsi="宋体" w:eastAsia="楷体_GB2312" w:cs="宋体"/>
                <w:b/>
                <w:bCs/>
                <w:sz w:val="24"/>
              </w:rPr>
              <w:t>统计范围：</w:t>
            </w:r>
            <w:r>
              <w:rPr>
                <w:rFonts w:hint="eastAsia" w:ascii="楷体_GB2312" w:hAnsi="宋体" w:eastAsia="楷体_GB2312" w:cs="宋体"/>
                <w:b w:val="0"/>
                <w:bCs w:val="0"/>
                <w:sz w:val="24"/>
              </w:rPr>
              <w:t>辖区内有开发经营活动的全部房地产开发经营业法人单位。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rPr>
                <w:rFonts w:hint="eastAsia" w:ascii="楷体_GB2312" w:hAnsi="宋体" w:eastAsia="楷体_GB2312" w:cs="宋体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sz w:val="24"/>
              </w:rPr>
              <w:t>2</w:t>
            </w:r>
            <w:r>
              <w:rPr>
                <w:rFonts w:hint="eastAsia" w:ascii="楷体_GB2312" w:hAnsi="宋体" w:eastAsia="楷体_GB2312" w:cs="宋体"/>
                <w:b/>
                <w:bCs/>
                <w:sz w:val="24"/>
                <w:lang w:val="en-US" w:eastAsia="zh-CN"/>
              </w:rPr>
              <w:t>.</w:t>
            </w:r>
            <w:r>
              <w:rPr>
                <w:rFonts w:hint="eastAsia" w:ascii="楷体_GB2312" w:hAnsi="宋体" w:eastAsia="楷体_GB2312" w:cs="宋体"/>
                <w:b/>
                <w:bCs/>
                <w:sz w:val="24"/>
              </w:rPr>
              <w:t>采集渠道：</w:t>
            </w:r>
            <w:r>
              <w:rPr>
                <w:rFonts w:hint="eastAsia" w:ascii="楷体_GB2312" w:hAnsi="宋体" w:eastAsia="楷体_GB2312" w:cs="宋体"/>
                <w:b w:val="0"/>
                <w:bCs w:val="0"/>
                <w:sz w:val="24"/>
              </w:rPr>
              <w:t>纳入统计范围的房地产开发企业按照《房地产业统计报表制度》要求，通过统计</w:t>
            </w:r>
            <w:r>
              <w:rPr>
                <w:rFonts w:hint="eastAsia" w:ascii="楷体_GB2312" w:hAnsi="宋体" w:eastAsia="楷体_GB2312" w:cs="宋体"/>
                <w:b w:val="0"/>
                <w:bCs w:val="0"/>
                <w:sz w:val="24"/>
                <w:lang w:eastAsia="zh-CN"/>
              </w:rPr>
              <w:t>联网直报</w:t>
            </w:r>
            <w:r>
              <w:rPr>
                <w:rFonts w:hint="eastAsia" w:ascii="楷体_GB2312" w:hAnsi="宋体" w:eastAsia="楷体_GB2312" w:cs="宋体"/>
                <w:b w:val="0"/>
                <w:bCs w:val="0"/>
                <w:sz w:val="24"/>
              </w:rPr>
              <w:t>平台上报统计数据。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rPr>
                <w:rFonts w:hint="eastAsia" w:ascii="楷体_GB2312" w:hAnsi="宋体" w:eastAsia="楷体_GB2312" w:cs="宋体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sz w:val="24"/>
              </w:rPr>
              <w:t>3</w:t>
            </w:r>
            <w:r>
              <w:rPr>
                <w:rFonts w:hint="eastAsia" w:ascii="楷体_GB2312" w:hAnsi="宋体" w:eastAsia="楷体_GB2312" w:cs="宋体"/>
                <w:b/>
                <w:bCs/>
                <w:sz w:val="24"/>
                <w:lang w:val="en-US" w:eastAsia="zh-CN"/>
              </w:rPr>
              <w:t>.</w:t>
            </w:r>
            <w:r>
              <w:rPr>
                <w:rFonts w:hint="eastAsia" w:ascii="楷体_GB2312" w:hAnsi="宋体" w:eastAsia="楷体_GB2312" w:cs="宋体"/>
                <w:b/>
                <w:bCs/>
                <w:sz w:val="24"/>
              </w:rPr>
              <w:t>指标解释：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rPr>
                <w:rFonts w:hint="eastAsia" w:ascii="楷体_GB2312" w:hAnsi="宋体" w:eastAsia="楷体_GB2312" w:cs="宋体"/>
                <w:b w:val="0"/>
                <w:bCs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 w:val="0"/>
                <w:bCs w:val="0"/>
                <w:sz w:val="24"/>
              </w:rPr>
              <w:t>房地产开发投资：指各种登记注册类型的房地产开发法人单位统一开发的住宅、厂房、仓库、饭店、宾馆、度假村、写字楼、办公楼等房屋建筑物，配套的服务设施，土地开发工程（如道路、给水、排水、供电、供热、通讯、平整场地等基础设施工程）和土地购置的投资。不包括单纯的土地开发和交易活动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</w:pPr>
            <w:r>
              <w:rPr>
                <w:rFonts w:hint="eastAsia" w:ascii="楷体_GB2312" w:hAnsi="宋体" w:eastAsia="楷体_GB2312" w:cs="宋体"/>
                <w:b w:val="0"/>
                <w:bCs w:val="0"/>
                <w:sz w:val="24"/>
              </w:rPr>
              <w:t>商品房销售面积</w:t>
            </w:r>
            <w:r>
              <w:rPr>
                <w:rFonts w:hint="eastAsia" w:ascii="楷体_GB2312" w:hAnsi="宋体" w:eastAsia="楷体_GB2312" w:cs="宋体"/>
                <w:b w:val="0"/>
                <w:bCs w:val="0"/>
                <w:sz w:val="24"/>
                <w:lang w:eastAsia="zh-CN"/>
              </w:rPr>
              <w:t>：</w:t>
            </w:r>
            <w:r>
              <w:rPr>
                <w:rFonts w:hint="eastAsia" w:ascii="楷体_GB2312" w:hAnsi="宋体" w:eastAsia="楷体_GB2312" w:cs="宋体"/>
                <w:b w:val="0"/>
                <w:bCs w:val="0"/>
                <w:sz w:val="24"/>
              </w:rPr>
              <w:t>指报告期内出售商品房屋的合同总面积(即双方签署的正式买卖合同中所确定的建筑面积)。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楷体_GB2312" w:hAnsi="宋体" w:eastAsia="楷体_GB2312" w:cs="宋体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rPr>
          <w:rFonts w:hint="eastAsi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both"/>
        <w:rPr>
          <w:rFonts w:hint="eastAsia"/>
          <w:b/>
          <w:color w:val="0000FF"/>
          <w:sz w:val="36"/>
          <w:szCs w:val="36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both"/>
        <w:rPr>
          <w:rFonts w:hint="eastAsia"/>
          <w:b/>
          <w:color w:val="0000FF"/>
          <w:sz w:val="36"/>
          <w:szCs w:val="36"/>
        </w:rPr>
      </w:pPr>
    </w:p>
    <w:p>
      <w:pPr>
        <w:pStyle w:val="2"/>
        <w:rPr>
          <w:rFonts w:hint="eastAsia"/>
          <w:b/>
          <w:color w:val="0000FF"/>
          <w:sz w:val="36"/>
          <w:szCs w:val="36"/>
        </w:rPr>
      </w:pPr>
    </w:p>
    <w:p>
      <w:pPr>
        <w:rPr>
          <w:rFonts w:hint="eastAsia"/>
        </w:rPr>
      </w:pPr>
    </w:p>
    <w:p>
      <w:pPr>
        <w:pStyle w:val="2"/>
        <w:rPr>
          <w:rFonts w:hint="eastAsia"/>
          <w:lang w:val="en-US" w:eastAsia="zh-CN"/>
        </w:rPr>
      </w:pPr>
    </w:p>
    <w:sectPr>
      <w:headerReference r:id="rId3" w:type="default"/>
      <w:pgSz w:w="16838" w:h="11906" w:orient="landscape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345EF1"/>
    <w:rsid w:val="01DE4569"/>
    <w:rsid w:val="01EA0DDF"/>
    <w:rsid w:val="021113C5"/>
    <w:rsid w:val="02383BF7"/>
    <w:rsid w:val="04B3291D"/>
    <w:rsid w:val="05144DE3"/>
    <w:rsid w:val="056063CD"/>
    <w:rsid w:val="0638629E"/>
    <w:rsid w:val="065A435E"/>
    <w:rsid w:val="0693162F"/>
    <w:rsid w:val="06BD48AA"/>
    <w:rsid w:val="08FE4A5D"/>
    <w:rsid w:val="09350139"/>
    <w:rsid w:val="0979482C"/>
    <w:rsid w:val="09B712A8"/>
    <w:rsid w:val="0AC36A44"/>
    <w:rsid w:val="0B55531A"/>
    <w:rsid w:val="0B7B2A58"/>
    <w:rsid w:val="0BD8075B"/>
    <w:rsid w:val="0BFA39C5"/>
    <w:rsid w:val="0C683C8D"/>
    <w:rsid w:val="0CA36702"/>
    <w:rsid w:val="0E4220D5"/>
    <w:rsid w:val="0E927B34"/>
    <w:rsid w:val="0EDD0097"/>
    <w:rsid w:val="103E310E"/>
    <w:rsid w:val="118634F1"/>
    <w:rsid w:val="12917D5A"/>
    <w:rsid w:val="13BA65BA"/>
    <w:rsid w:val="13C96186"/>
    <w:rsid w:val="13DB96C9"/>
    <w:rsid w:val="141623DE"/>
    <w:rsid w:val="163459DA"/>
    <w:rsid w:val="16494CC4"/>
    <w:rsid w:val="169355EC"/>
    <w:rsid w:val="172B5C42"/>
    <w:rsid w:val="176149FE"/>
    <w:rsid w:val="19715261"/>
    <w:rsid w:val="1A21665C"/>
    <w:rsid w:val="1AD30A1E"/>
    <w:rsid w:val="1AD8402B"/>
    <w:rsid w:val="1B0B13DC"/>
    <w:rsid w:val="1B122FB6"/>
    <w:rsid w:val="1BCD0481"/>
    <w:rsid w:val="1C0E5505"/>
    <w:rsid w:val="1C276350"/>
    <w:rsid w:val="1C56369B"/>
    <w:rsid w:val="1C8F0EFA"/>
    <w:rsid w:val="1CD46D9A"/>
    <w:rsid w:val="1D8D5B77"/>
    <w:rsid w:val="1D98136E"/>
    <w:rsid w:val="1DFB1785"/>
    <w:rsid w:val="1EB84662"/>
    <w:rsid w:val="1FFF4CB5"/>
    <w:rsid w:val="20681959"/>
    <w:rsid w:val="21382369"/>
    <w:rsid w:val="21784A05"/>
    <w:rsid w:val="22DB4243"/>
    <w:rsid w:val="23543D99"/>
    <w:rsid w:val="236F1C12"/>
    <w:rsid w:val="248C2EED"/>
    <w:rsid w:val="256C6363"/>
    <w:rsid w:val="25A15611"/>
    <w:rsid w:val="25E84811"/>
    <w:rsid w:val="26A37460"/>
    <w:rsid w:val="27174A9F"/>
    <w:rsid w:val="285E57AA"/>
    <w:rsid w:val="28DD1ED1"/>
    <w:rsid w:val="29303B10"/>
    <w:rsid w:val="29763C32"/>
    <w:rsid w:val="29AD74D8"/>
    <w:rsid w:val="29FB5780"/>
    <w:rsid w:val="2A94053E"/>
    <w:rsid w:val="2B8D63DC"/>
    <w:rsid w:val="2BEF4705"/>
    <w:rsid w:val="2C644628"/>
    <w:rsid w:val="2C6C1E73"/>
    <w:rsid w:val="2D076D14"/>
    <w:rsid w:val="2E29008C"/>
    <w:rsid w:val="2E2B4EE6"/>
    <w:rsid w:val="2E6C7B7D"/>
    <w:rsid w:val="2EC71D67"/>
    <w:rsid w:val="2EFD0F86"/>
    <w:rsid w:val="2F457D92"/>
    <w:rsid w:val="2F5B14A5"/>
    <w:rsid w:val="2F8D73F0"/>
    <w:rsid w:val="2FBDC9F1"/>
    <w:rsid w:val="315F1FAD"/>
    <w:rsid w:val="31767B07"/>
    <w:rsid w:val="32326294"/>
    <w:rsid w:val="32771816"/>
    <w:rsid w:val="32812E6E"/>
    <w:rsid w:val="32A7716C"/>
    <w:rsid w:val="33661F81"/>
    <w:rsid w:val="338177D2"/>
    <w:rsid w:val="33EA3D20"/>
    <w:rsid w:val="349C766D"/>
    <w:rsid w:val="34C40933"/>
    <w:rsid w:val="352C3131"/>
    <w:rsid w:val="36381881"/>
    <w:rsid w:val="364D3747"/>
    <w:rsid w:val="368A245A"/>
    <w:rsid w:val="36B82B10"/>
    <w:rsid w:val="36BE5A08"/>
    <w:rsid w:val="37EF20A6"/>
    <w:rsid w:val="38AC4A90"/>
    <w:rsid w:val="392A6086"/>
    <w:rsid w:val="393A7BCB"/>
    <w:rsid w:val="39C8393A"/>
    <w:rsid w:val="3ACA405B"/>
    <w:rsid w:val="3AEE30EC"/>
    <w:rsid w:val="3B4C203F"/>
    <w:rsid w:val="3B505972"/>
    <w:rsid w:val="3C094926"/>
    <w:rsid w:val="3CA06950"/>
    <w:rsid w:val="3CD34D5E"/>
    <w:rsid w:val="3DF66AB0"/>
    <w:rsid w:val="3E5544D7"/>
    <w:rsid w:val="3ED06649"/>
    <w:rsid w:val="3EFB9B05"/>
    <w:rsid w:val="3FA684FA"/>
    <w:rsid w:val="3FAB96BE"/>
    <w:rsid w:val="3FBF1369"/>
    <w:rsid w:val="3FDB5DF1"/>
    <w:rsid w:val="3FDED793"/>
    <w:rsid w:val="3FDF4110"/>
    <w:rsid w:val="3FF311AD"/>
    <w:rsid w:val="3FFE10C8"/>
    <w:rsid w:val="401D61C0"/>
    <w:rsid w:val="410478B0"/>
    <w:rsid w:val="414B607C"/>
    <w:rsid w:val="41A3549E"/>
    <w:rsid w:val="426042E3"/>
    <w:rsid w:val="42D90AF2"/>
    <w:rsid w:val="440C601A"/>
    <w:rsid w:val="441A04D4"/>
    <w:rsid w:val="458D15DA"/>
    <w:rsid w:val="46216826"/>
    <w:rsid w:val="46FF42F7"/>
    <w:rsid w:val="475234D8"/>
    <w:rsid w:val="476A13E8"/>
    <w:rsid w:val="47790412"/>
    <w:rsid w:val="47A86E6D"/>
    <w:rsid w:val="47E027CA"/>
    <w:rsid w:val="47FEAB4D"/>
    <w:rsid w:val="489B5BDB"/>
    <w:rsid w:val="4937785D"/>
    <w:rsid w:val="4AE90A8D"/>
    <w:rsid w:val="4B3D5C27"/>
    <w:rsid w:val="4B4551F2"/>
    <w:rsid w:val="4C2220D4"/>
    <w:rsid w:val="4C6D69D1"/>
    <w:rsid w:val="4CEB2530"/>
    <w:rsid w:val="4D1BC49A"/>
    <w:rsid w:val="4D8016E5"/>
    <w:rsid w:val="4D863A49"/>
    <w:rsid w:val="4D9327C0"/>
    <w:rsid w:val="4DC718E7"/>
    <w:rsid w:val="4DD01001"/>
    <w:rsid w:val="4E665BA6"/>
    <w:rsid w:val="4F024081"/>
    <w:rsid w:val="4F560168"/>
    <w:rsid w:val="4F5746E4"/>
    <w:rsid w:val="4F6D24BE"/>
    <w:rsid w:val="4FF703F7"/>
    <w:rsid w:val="50D8657E"/>
    <w:rsid w:val="51512E17"/>
    <w:rsid w:val="526977BB"/>
    <w:rsid w:val="52FB1BC2"/>
    <w:rsid w:val="53EF48C2"/>
    <w:rsid w:val="53F57A86"/>
    <w:rsid w:val="54895C40"/>
    <w:rsid w:val="54F42AFF"/>
    <w:rsid w:val="55600A1D"/>
    <w:rsid w:val="5567A25D"/>
    <w:rsid w:val="55B05FB6"/>
    <w:rsid w:val="55F567E0"/>
    <w:rsid w:val="560D74DF"/>
    <w:rsid w:val="567412A4"/>
    <w:rsid w:val="568A0C6F"/>
    <w:rsid w:val="56A02B61"/>
    <w:rsid w:val="56BB328C"/>
    <w:rsid w:val="57370DD3"/>
    <w:rsid w:val="57605D7D"/>
    <w:rsid w:val="57B35CE2"/>
    <w:rsid w:val="58913AC3"/>
    <w:rsid w:val="58E67C05"/>
    <w:rsid w:val="590F83E0"/>
    <w:rsid w:val="59375F5C"/>
    <w:rsid w:val="59630F03"/>
    <w:rsid w:val="597F8F05"/>
    <w:rsid w:val="5A055849"/>
    <w:rsid w:val="5A271408"/>
    <w:rsid w:val="5B73140F"/>
    <w:rsid w:val="5C9300D0"/>
    <w:rsid w:val="5CB32703"/>
    <w:rsid w:val="5CD35BE5"/>
    <w:rsid w:val="5D0004C6"/>
    <w:rsid w:val="5D4E0726"/>
    <w:rsid w:val="5D8F6061"/>
    <w:rsid w:val="5DFBF734"/>
    <w:rsid w:val="5FBF9E10"/>
    <w:rsid w:val="5FBFBE8E"/>
    <w:rsid w:val="5FC37593"/>
    <w:rsid w:val="5FDF0B1C"/>
    <w:rsid w:val="60FA610A"/>
    <w:rsid w:val="613D007B"/>
    <w:rsid w:val="61C65AFE"/>
    <w:rsid w:val="624730F5"/>
    <w:rsid w:val="62578C3C"/>
    <w:rsid w:val="62612361"/>
    <w:rsid w:val="639114E6"/>
    <w:rsid w:val="65797765"/>
    <w:rsid w:val="663F737A"/>
    <w:rsid w:val="675F8F65"/>
    <w:rsid w:val="67927ED5"/>
    <w:rsid w:val="67CB7260"/>
    <w:rsid w:val="67FD4902"/>
    <w:rsid w:val="687C1C1C"/>
    <w:rsid w:val="699E7C2F"/>
    <w:rsid w:val="69BE7033"/>
    <w:rsid w:val="69F16919"/>
    <w:rsid w:val="69FF778B"/>
    <w:rsid w:val="6A294847"/>
    <w:rsid w:val="6A65276C"/>
    <w:rsid w:val="6AC47901"/>
    <w:rsid w:val="6AFF3DA2"/>
    <w:rsid w:val="6B320384"/>
    <w:rsid w:val="6C02332D"/>
    <w:rsid w:val="6C0F7A99"/>
    <w:rsid w:val="6C257DC9"/>
    <w:rsid w:val="6C4B421F"/>
    <w:rsid w:val="6D5A4B7F"/>
    <w:rsid w:val="6E3E3AC9"/>
    <w:rsid w:val="6EA39D6C"/>
    <w:rsid w:val="6F9D743A"/>
    <w:rsid w:val="6FBF1FE6"/>
    <w:rsid w:val="6FC7354D"/>
    <w:rsid w:val="6FFEDE62"/>
    <w:rsid w:val="6FFF682D"/>
    <w:rsid w:val="6FFFDF34"/>
    <w:rsid w:val="71080D89"/>
    <w:rsid w:val="7175080B"/>
    <w:rsid w:val="7186F4B4"/>
    <w:rsid w:val="726A1098"/>
    <w:rsid w:val="727AA7EB"/>
    <w:rsid w:val="737B2704"/>
    <w:rsid w:val="73A6F0C8"/>
    <w:rsid w:val="73CC0211"/>
    <w:rsid w:val="73EFABBB"/>
    <w:rsid w:val="741F23A4"/>
    <w:rsid w:val="74501C96"/>
    <w:rsid w:val="757EAA3D"/>
    <w:rsid w:val="75DFCC41"/>
    <w:rsid w:val="75E61BEE"/>
    <w:rsid w:val="75EE766E"/>
    <w:rsid w:val="75F745C8"/>
    <w:rsid w:val="7607511D"/>
    <w:rsid w:val="765833C3"/>
    <w:rsid w:val="77166765"/>
    <w:rsid w:val="7720627A"/>
    <w:rsid w:val="7737265B"/>
    <w:rsid w:val="778962BC"/>
    <w:rsid w:val="779A77AC"/>
    <w:rsid w:val="77E9D9C2"/>
    <w:rsid w:val="77F30C7B"/>
    <w:rsid w:val="78B553DE"/>
    <w:rsid w:val="78E85C94"/>
    <w:rsid w:val="791B108A"/>
    <w:rsid w:val="795B0FD5"/>
    <w:rsid w:val="797D4315"/>
    <w:rsid w:val="7A100E94"/>
    <w:rsid w:val="7AAF36B2"/>
    <w:rsid w:val="7AC2683B"/>
    <w:rsid w:val="7B423B59"/>
    <w:rsid w:val="7B6FE944"/>
    <w:rsid w:val="7BA3EC91"/>
    <w:rsid w:val="7BE787CF"/>
    <w:rsid w:val="7C58388D"/>
    <w:rsid w:val="7C7A5981"/>
    <w:rsid w:val="7CF5D5DB"/>
    <w:rsid w:val="7D7EC8CD"/>
    <w:rsid w:val="7DFF7F9D"/>
    <w:rsid w:val="7E282AF5"/>
    <w:rsid w:val="7E3D82B6"/>
    <w:rsid w:val="7E7F0693"/>
    <w:rsid w:val="7EBE223A"/>
    <w:rsid w:val="7ED92472"/>
    <w:rsid w:val="7ED99CC2"/>
    <w:rsid w:val="7EDF6EB8"/>
    <w:rsid w:val="7EE580AA"/>
    <w:rsid w:val="7EEF0D62"/>
    <w:rsid w:val="7EFC7213"/>
    <w:rsid w:val="7F1879BC"/>
    <w:rsid w:val="7F3A5975"/>
    <w:rsid w:val="7F5E5D34"/>
    <w:rsid w:val="7FD91605"/>
    <w:rsid w:val="7FFF1899"/>
    <w:rsid w:val="81EB3C3A"/>
    <w:rsid w:val="8CDA845A"/>
    <w:rsid w:val="8ECFFD56"/>
    <w:rsid w:val="8FDD6C5D"/>
    <w:rsid w:val="95CB16DE"/>
    <w:rsid w:val="99B77EE0"/>
    <w:rsid w:val="9E7B6197"/>
    <w:rsid w:val="9FED37BA"/>
    <w:rsid w:val="A1F996D1"/>
    <w:rsid w:val="AB6F98F3"/>
    <w:rsid w:val="B7799B9E"/>
    <w:rsid w:val="B7FF7374"/>
    <w:rsid w:val="BB9F279F"/>
    <w:rsid w:val="BBBEF984"/>
    <w:rsid w:val="BCB190C7"/>
    <w:rsid w:val="BD7F112E"/>
    <w:rsid w:val="BDF6F2E2"/>
    <w:rsid w:val="BEBE2FB3"/>
    <w:rsid w:val="BF69E885"/>
    <w:rsid w:val="BFB650B6"/>
    <w:rsid w:val="C6FCE371"/>
    <w:rsid w:val="C72F571B"/>
    <w:rsid w:val="C7F7F066"/>
    <w:rsid w:val="CBFF8A60"/>
    <w:rsid w:val="CD3B0D55"/>
    <w:rsid w:val="CDD3AF60"/>
    <w:rsid w:val="D57D44D0"/>
    <w:rsid w:val="D77C3604"/>
    <w:rsid w:val="D7EE2A06"/>
    <w:rsid w:val="DA77DE6A"/>
    <w:rsid w:val="DBB74874"/>
    <w:rsid w:val="DDF6AF67"/>
    <w:rsid w:val="DF67A038"/>
    <w:rsid w:val="DF7BDF92"/>
    <w:rsid w:val="DF8DE048"/>
    <w:rsid w:val="DFAB23FE"/>
    <w:rsid w:val="DFAF1A6C"/>
    <w:rsid w:val="DFB724C3"/>
    <w:rsid w:val="DFBFE4DB"/>
    <w:rsid w:val="DFFCAA03"/>
    <w:rsid w:val="E2FFA600"/>
    <w:rsid w:val="E7DD7C91"/>
    <w:rsid w:val="E7F7B4E4"/>
    <w:rsid w:val="E7FDA2F2"/>
    <w:rsid w:val="EA6790F0"/>
    <w:rsid w:val="EBEF1CA0"/>
    <w:rsid w:val="EBF5BF5A"/>
    <w:rsid w:val="EDFE27A9"/>
    <w:rsid w:val="EE5B9157"/>
    <w:rsid w:val="EE7BA821"/>
    <w:rsid w:val="EEFF3E89"/>
    <w:rsid w:val="EF7D7BB4"/>
    <w:rsid w:val="EF7F12D6"/>
    <w:rsid w:val="EF99AF02"/>
    <w:rsid w:val="F047853D"/>
    <w:rsid w:val="F2ECBDBB"/>
    <w:rsid w:val="F4C7C781"/>
    <w:rsid w:val="F5FF6C02"/>
    <w:rsid w:val="F69F3012"/>
    <w:rsid w:val="F6FE7D1F"/>
    <w:rsid w:val="F77E2CBB"/>
    <w:rsid w:val="F7AB5BD3"/>
    <w:rsid w:val="F7B564CC"/>
    <w:rsid w:val="F7BFE11D"/>
    <w:rsid w:val="F7F25219"/>
    <w:rsid w:val="F7FEBE30"/>
    <w:rsid w:val="FAFF5057"/>
    <w:rsid w:val="FB7704E9"/>
    <w:rsid w:val="FBBD6810"/>
    <w:rsid w:val="FBCD7563"/>
    <w:rsid w:val="FBDF6E2B"/>
    <w:rsid w:val="FBF3580F"/>
    <w:rsid w:val="FBFF326E"/>
    <w:rsid w:val="FD661357"/>
    <w:rsid w:val="FDF3622D"/>
    <w:rsid w:val="FE1BD8BF"/>
    <w:rsid w:val="FE3F8DB9"/>
    <w:rsid w:val="FE77F456"/>
    <w:rsid w:val="FECFFF92"/>
    <w:rsid w:val="FEF39F24"/>
    <w:rsid w:val="FF9FF837"/>
    <w:rsid w:val="FFAD37E5"/>
    <w:rsid w:val="FFBEC56A"/>
    <w:rsid w:val="FFD783A1"/>
    <w:rsid w:val="FFD83BD6"/>
    <w:rsid w:val="FFDB47DB"/>
    <w:rsid w:val="FFDDC2DC"/>
    <w:rsid w:val="FFDF4CDE"/>
    <w:rsid w:val="FFDFD5D3"/>
    <w:rsid w:val="FFE6752D"/>
    <w:rsid w:val="FFFD938C"/>
    <w:rsid w:val="FFFFD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ascii="楷体_GB2312"/>
    </w:rPr>
  </w:style>
  <w:style w:type="paragraph" w:styleId="3">
    <w:name w:val="annotation text"/>
    <w:basedOn w:val="1"/>
    <w:link w:val="9"/>
    <w:qFormat/>
    <w:uiPriority w:val="0"/>
    <w:pPr>
      <w:jc w:val="left"/>
    </w:pPr>
    <w:rPr>
      <w:rFonts w:ascii="??" w:hAnsi="??" w:eastAsia="宋体" w:cs="??"/>
      <w:sz w:val="32"/>
      <w:szCs w:val="21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ascii="微软雅黑" w:hAnsi="微软雅黑" w:eastAsia="微软雅黑" w:cs="微软雅黑"/>
      <w:kern w:val="0"/>
      <w:sz w:val="24"/>
      <w:lang w:val="en-US" w:eastAsia="zh-CN" w:bidi="ar-SA"/>
    </w:r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批注文字 Char"/>
    <w:basedOn w:val="7"/>
    <w:link w:val="3"/>
    <w:qFormat/>
    <w:uiPriority w:val="0"/>
    <w:rPr>
      <w:rFonts w:ascii="??" w:hAnsi="??" w:eastAsia="宋体" w:cs="??"/>
      <w:sz w:val="32"/>
      <w:szCs w:val="21"/>
    </w:rPr>
  </w:style>
  <w:style w:type="character" w:customStyle="1" w:styleId="10">
    <w:name w:val="font2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1">
    <w:name w:val="font0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1982</Words>
  <Characters>2544</Characters>
  <Lines>0</Lines>
  <Paragraphs>0</Paragraphs>
  <TotalTime>13</TotalTime>
  <ScaleCrop>false</ScaleCrop>
  <LinksUpToDate>false</LinksUpToDate>
  <CharactersWithSpaces>2655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2020-08-19T17:20:00Z</dcterms:created>
  <dc:creator>NTKO</dc:creator>
  <cp:lastModifiedBy>pcb6</cp:lastModifiedBy>
  <cp:lastPrinted>2026-01-12T02:30:00Z</cp:lastPrinted>
  <dcterms:modified xsi:type="dcterms:W3CDTF">2026-08-19T03:28:08Z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