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auto"/>
          <w:sz w:val="36"/>
          <w:szCs w:val="36"/>
        </w:rPr>
      </w:pPr>
      <w:bookmarkStart w:id="0" w:name="_GoBack"/>
      <w:r>
        <w:rPr>
          <w:rFonts w:hint="eastAsia"/>
          <w:b/>
          <w:color w:val="auto"/>
          <w:sz w:val="36"/>
          <w:szCs w:val="36"/>
          <w:lang w:eastAsia="zh-CN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b/>
          <w:color w:val="auto"/>
          <w:sz w:val="36"/>
          <w:szCs w:val="36"/>
          <w:lang w:eastAsia="zh-CN"/>
        </w:rPr>
        <w:t>年</w:t>
      </w:r>
      <w:r>
        <w:rPr>
          <w:rFonts w:hint="eastAsia"/>
          <w:b/>
          <w:color w:val="auto"/>
          <w:sz w:val="36"/>
          <w:szCs w:val="36"/>
          <w:lang w:val="en" w:eastAsia="zh-CN"/>
        </w:rPr>
        <w:t>1-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3</w:t>
      </w:r>
      <w:r>
        <w:rPr>
          <w:rFonts w:hint="eastAsia"/>
          <w:b/>
          <w:color w:val="auto"/>
          <w:sz w:val="36"/>
          <w:szCs w:val="36"/>
          <w:lang w:val="en" w:eastAsia="zh-CN"/>
        </w:rPr>
        <w:t>月</w:t>
      </w:r>
      <w:r>
        <w:rPr>
          <w:rFonts w:hint="eastAsia"/>
          <w:b/>
          <w:color w:val="auto"/>
          <w:sz w:val="36"/>
          <w:szCs w:val="36"/>
          <w:lang w:eastAsia="zh-CN"/>
        </w:rPr>
        <w:t>密云区</w:t>
      </w:r>
      <w:r>
        <w:rPr>
          <w:rFonts w:hint="eastAsia"/>
          <w:b/>
          <w:color w:val="auto"/>
          <w:sz w:val="36"/>
          <w:szCs w:val="36"/>
        </w:rPr>
        <w:t>规模以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eastAsia="zh-CN"/>
        </w:rPr>
        <w:t>上服务业企业</w:t>
      </w:r>
      <w:r>
        <w:rPr>
          <w:rFonts w:hint="eastAsia"/>
          <w:b/>
          <w:color w:val="auto"/>
          <w:sz w:val="36"/>
          <w:szCs w:val="36"/>
        </w:rPr>
        <w:t>主要经济指标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8"/>
        <w:tblW w:w="134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  <w:gridCol w:w="2446"/>
        <w:gridCol w:w="2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61" w:type="dxa"/>
            <w:vMerge w:val="restart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    目</w:t>
            </w:r>
          </w:p>
        </w:tc>
        <w:tc>
          <w:tcPr>
            <w:tcW w:w="4893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营业收入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61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(亿元)</w:t>
            </w:r>
          </w:p>
        </w:tc>
        <w:tc>
          <w:tcPr>
            <w:tcW w:w="2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同比增长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合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</w:t>
            </w:r>
          </w:p>
        </w:tc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</w:t>
            </w:r>
          </w:p>
        </w:tc>
        <w:tc>
          <w:tcPr>
            <w:tcW w:w="2447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其中：交通运输、仓储和邮政业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信息传输、软件和信息技术服务业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房地产业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租赁和商务服务业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科学研究和技术服务业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文化、体育和娱乐业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single" w:color="000000" w:sz="12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bCs/>
          <w:sz w:val="24"/>
        </w:rPr>
      </w:pPr>
      <w:r>
        <w:rPr>
          <w:rFonts w:hint="eastAsia" w:ascii="楷体_GB2312" w:hAnsi="宋体" w:eastAsia="楷体_GB2312" w:cs="宋体"/>
          <w:bCs/>
          <w:sz w:val="24"/>
        </w:rPr>
        <w:t>注释：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textAlignment w:val="auto"/>
        <w:outlineLvl w:val="9"/>
        <w:rPr>
          <w:rFonts w:hint="eastAsia" w:ascii="楷体_GB2312" w:hAnsi="宋体" w:eastAsia="楷体_GB2312" w:cs="宋体"/>
          <w:sz w:val="24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1.情况说明：</w:t>
      </w:r>
      <w:r>
        <w:rPr>
          <w:rFonts w:hint="eastAsia" w:ascii="楷体_GB2312" w:hAnsi="宋体" w:eastAsia="楷体_GB2312" w:cs="宋体"/>
          <w:sz w:val="24"/>
          <w:lang w:val="en-US" w:eastAsia="zh-CN"/>
        </w:rPr>
        <w:t>同比增长是利用统计范围内调查单位填报的相关指标“1-本月”以及“上年同期”数据计算取得。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textAlignment w:val="auto"/>
        <w:outlineLvl w:val="9"/>
        <w:rPr>
          <w:rFonts w:hint="eastAsia" w:ascii="楷体_GB2312" w:hAnsi="宋体" w:eastAsia="楷体_GB2312" w:cs="宋体"/>
          <w:sz w:val="24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2.</w:t>
      </w:r>
      <w:r>
        <w:rPr>
          <w:rFonts w:hint="eastAsia" w:ascii="楷体_GB2312" w:hAnsi="宋体" w:eastAsia="楷体_GB2312" w:cs="宋体"/>
          <w:b/>
          <w:bCs/>
          <w:sz w:val="24"/>
        </w:rPr>
        <w:t>统计范围：</w:t>
      </w:r>
      <w:r>
        <w:rPr>
          <w:rFonts w:hint="eastAsia" w:ascii="楷体_GB2312" w:hAnsi="宋体" w:eastAsia="楷体_GB2312" w:cs="宋体"/>
          <w:sz w:val="24"/>
        </w:rPr>
        <w:t>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</w:t>
      </w:r>
      <w:r>
        <w:rPr>
          <w:rFonts w:hint="eastAsia" w:ascii="楷体_GB2312" w:hAnsi="宋体" w:eastAsia="楷体_GB2312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textAlignment w:val="auto"/>
        <w:outlineLvl w:val="9"/>
        <w:rPr>
          <w:rFonts w:hint="eastAsia" w:ascii="楷体_GB2312" w:hAnsi="宋体" w:eastAsia="楷体_GB2312" w:cs="宋体"/>
          <w:sz w:val="24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3.</w:t>
      </w:r>
      <w:r>
        <w:rPr>
          <w:rFonts w:hint="eastAsia" w:ascii="楷体_GB2312" w:hAnsi="宋体" w:eastAsia="楷体_GB2312" w:cs="宋体"/>
          <w:b/>
          <w:bCs/>
          <w:sz w:val="24"/>
        </w:rPr>
        <w:t>采集渠道：</w:t>
      </w:r>
      <w:r>
        <w:rPr>
          <w:rFonts w:hint="eastAsia" w:ascii="楷体_GB2312" w:hAnsi="宋体" w:eastAsia="楷体_GB2312" w:cs="宋体"/>
          <w:sz w:val="24"/>
        </w:rPr>
        <w:t xml:space="preserve">所有符合统计范围的单位按照《服务业统计报表制度》的要求通过统计数据集中采集平台上报统计数据。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jc w:val="both"/>
        <w:textAlignment w:val="auto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4.</w:t>
      </w:r>
      <w:r>
        <w:rPr>
          <w:rFonts w:hint="eastAsia" w:ascii="楷体_GB2312" w:hAnsi="宋体" w:eastAsia="楷体_GB2312" w:cs="宋体"/>
          <w:b/>
          <w:bCs/>
          <w:sz w:val="24"/>
        </w:rPr>
        <w:t>主要统计指标解释：</w:t>
      </w:r>
      <w:r>
        <w:rPr>
          <w:rFonts w:hint="eastAsia" w:ascii="楷体_GB2312" w:hAnsi="宋体" w:eastAsia="楷体_GB2312" w:cs="宋体"/>
          <w:bCs/>
          <w:sz w:val="24"/>
        </w:rPr>
        <w:t>营业收入指企业从事销售商品、提供劳务和让渡资产使用权等生产经营活动形成的经济利益流入，包括“主营业务收入”和“其他业务收入”。</w:t>
      </w: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cript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25D0472"/>
    <w:rsid w:val="04B3291D"/>
    <w:rsid w:val="05144DE3"/>
    <w:rsid w:val="056063CD"/>
    <w:rsid w:val="0638629E"/>
    <w:rsid w:val="065A435E"/>
    <w:rsid w:val="0693162F"/>
    <w:rsid w:val="06BD48AA"/>
    <w:rsid w:val="07B0077F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0F611E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3E07E50"/>
    <w:rsid w:val="141623DE"/>
    <w:rsid w:val="156D1FB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4D311F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8B18F5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59A0541"/>
    <w:rsid w:val="36381881"/>
    <w:rsid w:val="364D3747"/>
    <w:rsid w:val="368A245A"/>
    <w:rsid w:val="36B82B10"/>
    <w:rsid w:val="36BE5A08"/>
    <w:rsid w:val="36DB2072"/>
    <w:rsid w:val="371024FC"/>
    <w:rsid w:val="37B7016D"/>
    <w:rsid w:val="37EF20A6"/>
    <w:rsid w:val="389E4B0C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056172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C972D4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BE61D2"/>
    <w:rsid w:val="58E67C05"/>
    <w:rsid w:val="590F83E0"/>
    <w:rsid w:val="59375F5C"/>
    <w:rsid w:val="59630F03"/>
    <w:rsid w:val="597F8F05"/>
    <w:rsid w:val="59E66964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3770FE"/>
    <w:rsid w:val="5FBF9E10"/>
    <w:rsid w:val="5FC37593"/>
    <w:rsid w:val="5FD76051"/>
    <w:rsid w:val="5FDF0B1C"/>
    <w:rsid w:val="60FA610A"/>
    <w:rsid w:val="613D007B"/>
    <w:rsid w:val="61C65AFE"/>
    <w:rsid w:val="62578C3C"/>
    <w:rsid w:val="62612361"/>
    <w:rsid w:val="639114E6"/>
    <w:rsid w:val="65797765"/>
    <w:rsid w:val="65B45D61"/>
    <w:rsid w:val="65FA5FD6"/>
    <w:rsid w:val="663F737A"/>
    <w:rsid w:val="675F8F65"/>
    <w:rsid w:val="67927ED5"/>
    <w:rsid w:val="67CB7260"/>
    <w:rsid w:val="67FD4902"/>
    <w:rsid w:val="687C1C1C"/>
    <w:rsid w:val="6968258B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374C64"/>
    <w:rsid w:val="6C4B421F"/>
    <w:rsid w:val="6D5A4B7F"/>
    <w:rsid w:val="6EA39D6C"/>
    <w:rsid w:val="6F9D743A"/>
    <w:rsid w:val="6FA213A6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213B17"/>
    <w:rsid w:val="765833C3"/>
    <w:rsid w:val="77166765"/>
    <w:rsid w:val="7720627A"/>
    <w:rsid w:val="778962BC"/>
    <w:rsid w:val="779A77AC"/>
    <w:rsid w:val="77E9D9C2"/>
    <w:rsid w:val="77F30C7B"/>
    <w:rsid w:val="78B553DE"/>
    <w:rsid w:val="78D82FCB"/>
    <w:rsid w:val="78E85C94"/>
    <w:rsid w:val="791B108A"/>
    <w:rsid w:val="797D4315"/>
    <w:rsid w:val="7A100E94"/>
    <w:rsid w:val="7A994591"/>
    <w:rsid w:val="7AC2683B"/>
    <w:rsid w:val="7B423B59"/>
    <w:rsid w:val="7B6FE944"/>
    <w:rsid w:val="7BA3EC91"/>
    <w:rsid w:val="7BE787CF"/>
    <w:rsid w:val="7C58388D"/>
    <w:rsid w:val="7C5E6906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691DFB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7F112E"/>
    <w:rsid w:val="BDF6F2E2"/>
    <w:rsid w:val="BF69E885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3FDC7E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1EC26E"/>
    <w:rsid w:val="EF7D7BB4"/>
    <w:rsid w:val="EF99AF02"/>
    <w:rsid w:val="F047853D"/>
    <w:rsid w:val="F2ECBDBB"/>
    <w:rsid w:val="F4C7C781"/>
    <w:rsid w:val="F5FDF678"/>
    <w:rsid w:val="F5FF6C02"/>
    <w:rsid w:val="F69F3012"/>
    <w:rsid w:val="F6FE7D1F"/>
    <w:rsid w:val="F77E2CBB"/>
    <w:rsid w:val="F7AB5BD3"/>
    <w:rsid w:val="F7B564CC"/>
    <w:rsid w:val="F7BF082A"/>
    <w:rsid w:val="F7BFE11D"/>
    <w:rsid w:val="FAFF5057"/>
    <w:rsid w:val="FB7704E9"/>
    <w:rsid w:val="FBBD267F"/>
    <w:rsid w:val="FBBD6810"/>
    <w:rsid w:val="FBDF6E2B"/>
    <w:rsid w:val="FBF3580F"/>
    <w:rsid w:val="FBFF326E"/>
    <w:rsid w:val="FCBF0E55"/>
    <w:rsid w:val="FD1EC79F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C79609"/>
    <w:rsid w:val="FFD783A1"/>
    <w:rsid w:val="FFD83BD6"/>
    <w:rsid w:val="FFDB47DB"/>
    <w:rsid w:val="FFDDC2DC"/>
    <w:rsid w:val="FFDF4CDE"/>
    <w:rsid w:val="FFDFD5D3"/>
    <w:rsid w:val="FFE6752D"/>
    <w:rsid w:val="FFEE4FCB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firstLine="480"/>
    </w:pPr>
    <w:rPr>
      <w:snapToGrid w:val="0"/>
      <w:sz w:val="24"/>
    </w:rPr>
  </w:style>
  <w:style w:type="paragraph" w:styleId="4">
    <w:name w:val="annotation text"/>
    <w:basedOn w:val="1"/>
    <w:link w:val="11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Body Text"/>
    <w:basedOn w:val="1"/>
    <w:next w:val="1"/>
    <w:qFormat/>
    <w:uiPriority w:val="0"/>
    <w:rPr>
      <w:rFonts w:ascii="楷体_GB231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文字 Char"/>
    <w:basedOn w:val="9"/>
    <w:link w:val="4"/>
    <w:qFormat/>
    <w:uiPriority w:val="0"/>
    <w:rPr>
      <w:rFonts w:ascii="??" w:hAnsi="??" w:eastAsia="宋体" w:cs="??"/>
      <w:sz w:val="32"/>
      <w:szCs w:val="21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2020-08-21T01:20:00Z</dcterms:created>
  <dc:creator>NTKO</dc:creator>
  <cp:lastModifiedBy>uos</cp:lastModifiedBy>
  <cp:lastPrinted>2025-02-03T06:35:00Z</cp:lastPrinted>
  <dcterms:modified xsi:type="dcterms:W3CDTF">2026-05-11T14:08:14Z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