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eastAsia="zh-CN"/>
        </w:rPr>
      </w:pPr>
      <w:r>
        <w:rPr>
          <w:rFonts w:hint="default"/>
          <w:b/>
          <w:color w:val="0000FF"/>
          <w:sz w:val="36"/>
          <w:szCs w:val="36"/>
          <w:highlight w:val="none"/>
          <w:lang w:val="en" w:eastAsia="zh-CN"/>
        </w:rPr>
        <w:t>2025年1-</w:t>
      </w:r>
      <w:r>
        <w:rPr>
          <w:rFonts w:hint="eastAsia"/>
          <w:b/>
          <w:color w:val="0000FF"/>
          <w:sz w:val="36"/>
          <w:szCs w:val="36"/>
          <w:highlight w:val="none"/>
          <w:lang w:val="en-US" w:eastAsia="zh-CN"/>
        </w:rPr>
        <w:t>4</w:t>
      </w:r>
      <w:r>
        <w:rPr>
          <w:rFonts w:hint="default"/>
          <w:b/>
          <w:color w:val="0000FF"/>
          <w:sz w:val="36"/>
          <w:szCs w:val="36"/>
          <w:highlight w:val="none"/>
          <w:lang w:val="en" w:eastAsia="zh-CN"/>
        </w:rPr>
        <w:t>季</w:t>
      </w:r>
      <w:r>
        <w:rPr>
          <w:rFonts w:hint="eastAsia"/>
          <w:b/>
          <w:color w:val="0000FF"/>
          <w:sz w:val="36"/>
          <w:szCs w:val="36"/>
          <w:highlight w:val="none"/>
          <w:lang w:val="en" w:eastAsia="zh-CN"/>
        </w:rPr>
        <w:t>度</w:t>
      </w:r>
      <w:r>
        <w:rPr>
          <w:rFonts w:hint="eastAsia"/>
          <w:b/>
          <w:color w:val="0000FF"/>
          <w:sz w:val="36"/>
          <w:szCs w:val="36"/>
          <w:lang w:val="en" w:eastAsia="zh-CN"/>
        </w:rPr>
        <w:t>密云区</w:t>
      </w:r>
      <w:r>
        <w:rPr>
          <w:rFonts w:hint="eastAsia"/>
          <w:b/>
          <w:color w:val="0000FF"/>
          <w:sz w:val="36"/>
          <w:szCs w:val="36"/>
          <w:highlight w:val="none"/>
        </w:rPr>
        <w:t>地区生产总值</w:t>
      </w:r>
      <w:r>
        <w:rPr>
          <w:rFonts w:hint="eastAsia"/>
          <w:b/>
          <w:color w:val="0000FF"/>
          <w:sz w:val="36"/>
          <w:szCs w:val="36"/>
          <w:highlight w:val="none"/>
          <w:lang w:eastAsia="zh-CN"/>
        </w:rPr>
        <w:t>情况</w:t>
      </w:r>
    </w:p>
    <w:tbl>
      <w:tblPr>
        <w:tblStyle w:val="6"/>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08"/>
        <w:gridCol w:w="3535"/>
        <w:gridCol w:w="3466"/>
        <w:gridCol w:w="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9" w:type="dxa"/>
          <w:trHeight w:val="715" w:hRule="atLeast"/>
        </w:trPr>
        <w:tc>
          <w:tcPr>
            <w:tcW w:w="6108" w:type="dxa"/>
            <w:tcBorders>
              <w:top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项  目</w:t>
            </w:r>
          </w:p>
        </w:tc>
        <w:tc>
          <w:tcPr>
            <w:tcW w:w="3535" w:type="dxa"/>
            <w:tcBorders>
              <w:top w:val="single" w:color="000000" w:sz="12"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default" w:ascii="宋体" w:hAnsi="宋体" w:cs="宋体"/>
                <w:kern w:val="0"/>
                <w:sz w:val="24"/>
                <w:lang w:val="en" w:eastAsia="zh-CN"/>
              </w:rPr>
              <w:t>2025年1-</w:t>
            </w:r>
            <w:r>
              <w:rPr>
                <w:rFonts w:hint="eastAsia" w:ascii="宋体" w:hAnsi="宋体" w:cs="宋体"/>
                <w:kern w:val="0"/>
                <w:sz w:val="24"/>
                <w:lang w:val="en-US" w:eastAsia="zh-CN"/>
              </w:rPr>
              <w:t>4</w:t>
            </w:r>
            <w:r>
              <w:rPr>
                <w:rFonts w:hint="default" w:ascii="宋体" w:hAnsi="宋体" w:cs="宋体"/>
                <w:kern w:val="0"/>
                <w:sz w:val="24"/>
                <w:lang w:val="en" w:eastAsia="zh-CN"/>
              </w:rPr>
              <w:t>季</w:t>
            </w:r>
            <w:r>
              <w:rPr>
                <w:rFonts w:hint="eastAsia" w:ascii="宋体" w:hAnsi="宋体" w:cs="宋体"/>
                <w:kern w:val="0"/>
                <w:sz w:val="24"/>
                <w:lang w:val="en" w:eastAsia="zh-CN"/>
              </w:rPr>
              <w:t>度</w:t>
            </w:r>
          </w:p>
        </w:tc>
        <w:tc>
          <w:tcPr>
            <w:tcW w:w="3466" w:type="dxa"/>
            <w:tcBorders>
              <w:top w:val="single" w:color="000000" w:sz="12"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lang w:eastAsia="zh-CN"/>
              </w:rPr>
              <w:t>增速</w:t>
            </w:r>
            <w:r>
              <w:rPr>
                <w:rFonts w:hint="eastAsia" w:ascii="宋体" w:hAnsi="宋体" w:cs="宋体"/>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9" w:type="dxa"/>
          <w:trHeight w:val="454" w:hRule="exact"/>
        </w:trPr>
        <w:tc>
          <w:tcPr>
            <w:tcW w:w="6108" w:type="dxa"/>
            <w:tcBorders>
              <w:top w:val="single" w:color="000000" w:sz="4" w:space="0"/>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地区生产总值（万元）</w:t>
            </w:r>
          </w:p>
        </w:tc>
        <w:tc>
          <w:tcPr>
            <w:tcW w:w="3535" w:type="dxa"/>
            <w:tcBorders>
              <w:top w:val="single" w:color="000000" w:sz="4" w:space="0"/>
              <w:left w:val="single" w:color="000000" w:sz="6" w:space="0"/>
              <w:bottom w:val="nil"/>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val="0"/>
                <w:kern w:val="0"/>
                <w:sz w:val="24"/>
                <w:lang w:val="en-US" w:eastAsia="zh-CN"/>
              </w:rPr>
            </w:pPr>
            <w:r>
              <w:rPr>
                <w:rFonts w:hint="eastAsia" w:ascii="宋体" w:hAnsi="宋体" w:eastAsia="宋体" w:cs="宋体"/>
                <w:b/>
                <w:i w:val="0"/>
                <w:color w:val="000000"/>
                <w:kern w:val="0"/>
                <w:sz w:val="22"/>
                <w:szCs w:val="22"/>
                <w:u w:val="none"/>
                <w:lang w:val="en-US" w:eastAsia="zh-CN" w:bidi="ar"/>
              </w:rPr>
              <w:t xml:space="preserve">4750049 </w:t>
            </w:r>
          </w:p>
        </w:tc>
        <w:tc>
          <w:tcPr>
            <w:tcW w:w="3466" w:type="dxa"/>
            <w:tcBorders>
              <w:top w:val="single" w:color="000000" w:sz="4" w:space="0"/>
              <w:left w:val="single" w:color="000000" w:sz="6" w:space="0"/>
              <w:bottom w:val="nil"/>
            </w:tcBorders>
            <w:vAlign w:val="center"/>
          </w:tcPr>
          <w:p>
            <w:pPr>
              <w:keepNext w:val="0"/>
              <w:keepLines w:val="0"/>
              <w:widowControl/>
              <w:suppressLineNumbers w:val="0"/>
              <w:jc w:val="right"/>
              <w:textAlignment w:val="center"/>
              <w:rPr>
                <w:rFonts w:hint="eastAsia" w:ascii="宋体" w:hAnsi="宋体" w:eastAsia="宋体" w:cs="宋体"/>
                <w:b/>
                <w:bCs w:val="0"/>
                <w:kern w:val="0"/>
                <w:sz w:val="24"/>
                <w:lang w:val="en-US" w:eastAsia="zh-CN"/>
              </w:rPr>
            </w:pPr>
            <w:r>
              <w:rPr>
                <w:rFonts w:hint="eastAsia" w:ascii="宋体" w:hAnsi="宋体" w:eastAsia="宋体" w:cs="宋体"/>
                <w:b/>
                <w:i w:val="0"/>
                <w:color w:val="000000"/>
                <w:kern w:val="0"/>
                <w:sz w:val="22"/>
                <w:szCs w:val="22"/>
                <w:u w:val="none"/>
                <w:lang w:val="en-US" w:eastAsia="zh-CN" w:bidi="ar"/>
              </w:rPr>
              <w:t xml:space="preserve">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9" w:type="dxa"/>
          <w:trHeight w:val="454" w:hRule="exact"/>
        </w:trPr>
        <w:tc>
          <w:tcPr>
            <w:tcW w:w="6108" w:type="dxa"/>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按产业分</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b w:val="0"/>
                <w:bCs/>
                <w:kern w:val="0"/>
                <w:sz w:val="24"/>
                <w:szCs w:val="24"/>
              </w:rPr>
            </w:pPr>
          </w:p>
        </w:tc>
        <w:tc>
          <w:tcPr>
            <w:tcW w:w="3466" w:type="dxa"/>
            <w:tcBorders>
              <w:top w:val="nil"/>
              <w:left w:val="single" w:color="000000" w:sz="6" w:space="0"/>
              <w:bottom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b w:val="0"/>
                <w:bCs/>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9" w:type="dxa"/>
          <w:trHeight w:val="454" w:hRule="exact"/>
        </w:trPr>
        <w:tc>
          <w:tcPr>
            <w:tcW w:w="6108" w:type="dxa"/>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第一产业</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110427 </w:t>
            </w:r>
          </w:p>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1278728 </w:t>
            </w:r>
          </w:p>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3360894 </w:t>
            </w:r>
          </w:p>
        </w:tc>
        <w:tc>
          <w:tcPr>
            <w:tcW w:w="3466" w:type="dxa"/>
            <w:tcBorders>
              <w:top w:val="nil"/>
              <w:left w:val="single" w:color="000000" w:sz="6" w:space="0"/>
              <w:bottom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9" w:type="dxa"/>
          <w:trHeight w:val="454" w:hRule="exact"/>
        </w:trPr>
        <w:tc>
          <w:tcPr>
            <w:tcW w:w="6108" w:type="dxa"/>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第二产业</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1278728 </w:t>
            </w:r>
          </w:p>
        </w:tc>
        <w:tc>
          <w:tcPr>
            <w:tcW w:w="3466" w:type="dxa"/>
            <w:tcBorders>
              <w:top w:val="nil"/>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9" w:type="dxa"/>
          <w:trHeight w:val="454" w:hRule="exact"/>
        </w:trPr>
        <w:tc>
          <w:tcPr>
            <w:tcW w:w="6108" w:type="dxa"/>
            <w:tcBorders>
              <w:top w:val="nil"/>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第三产业</w:t>
            </w:r>
          </w:p>
        </w:tc>
        <w:tc>
          <w:tcPr>
            <w:tcW w:w="3535" w:type="dxa"/>
            <w:tcBorders>
              <w:top w:val="nil"/>
              <w:left w:val="single" w:color="000000" w:sz="6" w:space="0"/>
              <w:bottom w:val="single" w:color="000000" w:sz="12"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3360894 </w:t>
            </w:r>
          </w:p>
        </w:tc>
        <w:tc>
          <w:tcPr>
            <w:tcW w:w="3466" w:type="dxa"/>
            <w:tcBorders>
              <w:top w:val="nil"/>
              <w:left w:val="single" w:color="000000" w:sz="6" w:space="0"/>
              <w:bottom w:val="single" w:color="000000"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3268" w:type="dxa"/>
            <w:gridSpan w:val="4"/>
            <w:tcBorders>
              <w:top w:val="single" w:color="000000" w:sz="12" w:space="0"/>
              <w:bottom w:val="nil"/>
            </w:tcBorders>
            <w:vAlign w:val="center"/>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outlineLvl w:val="9"/>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lang w:val="en-US" w:eastAsia="zh-CN"/>
              </w:rPr>
              <w:t>1.情况说明：</w:t>
            </w:r>
            <w:r>
              <w:rPr>
                <w:rFonts w:hint="eastAsia" w:ascii="楷体_GB2312" w:hAnsi="宋体" w:eastAsia="楷体_GB2312" w:cs="宋体"/>
                <w:b w:val="0"/>
                <w:bCs w:val="0"/>
                <w:kern w:val="0"/>
                <w:sz w:val="24"/>
                <w:szCs w:val="24"/>
                <w:lang w:val="en-US" w:eastAsia="zh-CN" w:bidi="ar-SA"/>
              </w:rPr>
              <w:t>地区生产总值数据由北京市统计局统一核算反馈；增加值绝对额以现价计算，增速以不变价计算；表中数据未作机械调整。</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outlineLvl w:val="9"/>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lang w:val="en-US" w:eastAsia="zh-CN"/>
              </w:rPr>
              <w:t>2.</w:t>
            </w:r>
            <w:r>
              <w:rPr>
                <w:rFonts w:hint="eastAsia" w:ascii="楷体_GB2312" w:hAnsi="宋体" w:eastAsia="楷体_GB2312" w:cs="宋体"/>
                <w:b/>
                <w:bCs/>
                <w:sz w:val="24"/>
              </w:rPr>
              <w:t>统计范围：</w:t>
            </w:r>
            <w:r>
              <w:rPr>
                <w:rFonts w:hint="eastAsia" w:ascii="楷体_GB2312" w:hAnsi="宋体" w:eastAsia="楷体_GB2312" w:cs="宋体"/>
                <w:b w:val="0"/>
                <w:bCs w:val="0"/>
                <w:kern w:val="0"/>
                <w:sz w:val="24"/>
                <w:szCs w:val="24"/>
                <w:lang w:val="en-US" w:eastAsia="zh-CN" w:bidi="ar-SA"/>
              </w:rPr>
              <w:t>所有在我国（地区）经济领土内具有经济利益中心的经济单位都应该纳入地区生产总值（GDP）统计范围，即在我国(地区)经济领土内拥有一定的活动场所，从事一定规模的经济活动，并超过一定时期的经济单位创造的最终产品和服务的价值。包括在中国（地区）的外企，但不包括各国驻华使馆。</w:t>
            </w:r>
          </w:p>
          <w:p>
            <w:pPr>
              <w:keepNext w:val="0"/>
              <w:keepLines w:val="0"/>
              <w:widowControl/>
              <w:suppressLineNumbers w:val="0"/>
              <w:jc w:val="left"/>
              <w:rPr>
                <w:rFonts w:hint="eastAsia" w:ascii="楷体_GB2312" w:hAnsi="宋体" w:eastAsia="楷体_GB2312" w:cs="宋体"/>
                <w:b w:val="0"/>
                <w:bCs w:val="0"/>
                <w:sz w:val="24"/>
              </w:rPr>
            </w:pPr>
            <w:r>
              <w:rPr>
                <w:rFonts w:hint="eastAsia" w:ascii="楷体_GB2312" w:hAnsi="宋体" w:eastAsia="楷体_GB2312" w:cs="宋体"/>
                <w:b/>
                <w:bCs/>
                <w:sz w:val="24"/>
                <w:lang w:val="en-US" w:eastAsia="zh-CN"/>
              </w:rPr>
              <w:t>3.</w:t>
            </w:r>
            <w:r>
              <w:rPr>
                <w:rFonts w:hint="eastAsia" w:ascii="楷体_GB2312" w:hAnsi="宋体" w:eastAsia="楷体_GB2312" w:cs="宋体"/>
                <w:b/>
                <w:bCs/>
                <w:kern w:val="0"/>
                <w:sz w:val="24"/>
                <w:szCs w:val="24"/>
                <w:lang w:val="en-US" w:eastAsia="zh-CN" w:bidi="ar-SA"/>
              </w:rPr>
              <w:t>资料来源</w:t>
            </w:r>
            <w:r>
              <w:rPr>
                <w:rFonts w:hint="eastAsia" w:ascii="楷体_GB2312" w:hAnsi="宋体" w:eastAsia="楷体_GB2312" w:cs="宋体"/>
                <w:bCs/>
                <w:sz w:val="24"/>
              </w:rPr>
              <w:t>：</w:t>
            </w:r>
            <w:r>
              <w:rPr>
                <w:rFonts w:hint="eastAsia" w:ascii="楷体_GB2312" w:hAnsi="宋体" w:eastAsia="楷体_GB2312" w:cs="宋体"/>
                <w:b w:val="0"/>
                <w:bCs w:val="0"/>
                <w:sz w:val="24"/>
                <w:lang w:val="en-US" w:eastAsia="zh-CN"/>
              </w:rPr>
              <w:t>资料来源主要包括两部分：一是国家统计调查资料，指由国家统计系统实施的统计调查获得的各种统计资料，如农林牧渔业、工业、建筑业、批发和零售业、住宿和餐饮业、房地产业、规模以上服务业等统计调查资料、人口与劳动工资统计资料、价格统计资料等。二是行政管理部门的行政记录资料，主要包括：人民银行、金融监管总局、证监会等行政管理部门的相关数据。</w:t>
            </w:r>
          </w:p>
          <w:p>
            <w:pPr>
              <w:keepNext w:val="0"/>
              <w:keepLines w:val="0"/>
              <w:widowControl/>
              <w:suppressLineNumbers w:val="0"/>
              <w:jc w:val="left"/>
              <w:rPr>
                <w:rFonts w:hint="eastAsia" w:ascii="楷体_GB2312" w:hAnsi="宋体" w:eastAsia="楷体_GB2312" w:cs="宋体"/>
                <w:b w:val="0"/>
                <w:bCs w:val="0"/>
                <w:sz w:val="24"/>
                <w:lang w:val="en-US" w:eastAsia="zh-CN"/>
              </w:rPr>
            </w:pPr>
            <w:r>
              <w:rPr>
                <w:rFonts w:hint="eastAsia" w:ascii="楷体_GB2312" w:hAnsi="宋体" w:eastAsia="楷体_GB2312" w:cs="宋体"/>
                <w:b/>
                <w:sz w:val="24"/>
                <w:lang w:val="en-US" w:eastAsia="zh-CN"/>
              </w:rPr>
              <w:t>4.</w:t>
            </w:r>
            <w:r>
              <w:rPr>
                <w:rFonts w:hint="eastAsia" w:ascii="楷体_GB2312" w:hAnsi="宋体" w:eastAsia="楷体_GB2312" w:cs="宋体"/>
                <w:b/>
                <w:bCs/>
                <w:sz w:val="24"/>
              </w:rPr>
              <w:t>主要统计指标解释</w:t>
            </w:r>
            <w:bookmarkStart w:id="0" w:name="_GoBack"/>
            <w:r>
              <w:rPr>
                <w:rFonts w:hint="eastAsia" w:ascii="楷体_GB2312" w:hAnsi="宋体" w:eastAsia="楷体_GB2312" w:cs="宋体"/>
                <w:b/>
                <w:bCs w:val="0"/>
                <w:sz w:val="24"/>
              </w:rPr>
              <w:t>：</w:t>
            </w:r>
            <w:bookmarkEnd w:id="0"/>
            <w:r>
              <w:rPr>
                <w:rFonts w:hint="eastAsia" w:ascii="楷体_GB2312" w:hAnsi="宋体" w:eastAsia="楷体_GB2312" w:cs="宋体"/>
                <w:b w:val="0"/>
                <w:bCs w:val="0"/>
                <w:sz w:val="24"/>
                <w:lang w:val="en-US" w:eastAsia="zh-CN"/>
              </w:rPr>
              <w:t>地区生产总值（GDP）：是一个地区的所有常住单位在一定时期内所生产的全部最终产品和服务的价值总和，是反映经济总体状况重要的指标。地区生产总值反映的是最终的生产成果，它有三种表现形态：价值形态、收入形态和产品形态。三种表现形态在国民经济核算中就形成了三种基本的核算方法，即生产法、收入法、支出法。</w:t>
            </w: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7737CA"/>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57B6752"/>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744AF"/>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29A6D"/>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9561FC"/>
    <w:rsid w:val="DBB74874"/>
    <w:rsid w:val="DDF6AF67"/>
    <w:rsid w:val="DF67A038"/>
    <w:rsid w:val="DF7BDF92"/>
    <w:rsid w:val="DF8DE048"/>
    <w:rsid w:val="DFAB23FE"/>
    <w:rsid w:val="DFAF1A6C"/>
    <w:rsid w:val="DFB724C3"/>
    <w:rsid w:val="DFBFE4DB"/>
    <w:rsid w:val="DFDF5FCC"/>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5241C"/>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2</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2020-08-20T01:20:00Z</dcterms:created>
  <dc:creator>NTKO</dc:creator>
  <cp:lastModifiedBy>uos</cp:lastModifiedBy>
  <cp:lastPrinted>2025-02-02T06:35:00Z</cp:lastPrinted>
  <dcterms:modified xsi:type="dcterms:W3CDTF">2026-01-28T17:20:36Z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