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rPr>
      </w:pPr>
      <w:r>
        <w:rPr>
          <w:rFonts w:hint="eastAsia"/>
          <w:b/>
          <w:color w:val="0000FF"/>
          <w:sz w:val="36"/>
          <w:szCs w:val="36"/>
          <w:lang w:eastAsia="zh-CN"/>
        </w:rPr>
        <w:t>2025年</w:t>
      </w:r>
      <w:r>
        <w:rPr>
          <w:rFonts w:hint="eastAsia"/>
          <w:b/>
          <w:color w:val="0000FF"/>
          <w:sz w:val="36"/>
          <w:szCs w:val="36"/>
          <w:lang w:val="en" w:eastAsia="zh-CN"/>
        </w:rPr>
        <w:t>1-1</w:t>
      </w:r>
      <w:r>
        <w:rPr>
          <w:rFonts w:hint="eastAsia"/>
          <w:b/>
          <w:color w:val="0000FF"/>
          <w:sz w:val="36"/>
          <w:szCs w:val="36"/>
          <w:lang w:val="en-US" w:eastAsia="zh-CN"/>
        </w:rPr>
        <w:t>1</w:t>
      </w:r>
      <w:r>
        <w:rPr>
          <w:rFonts w:hint="eastAsia"/>
          <w:b/>
          <w:color w:val="0000FF"/>
          <w:sz w:val="36"/>
          <w:szCs w:val="36"/>
          <w:lang w:val="en" w:eastAsia="zh-CN"/>
        </w:rPr>
        <w:t>月</w:t>
      </w:r>
      <w:r>
        <w:rPr>
          <w:rFonts w:hint="eastAsia"/>
          <w:b/>
          <w:color w:val="0000FF"/>
          <w:sz w:val="36"/>
          <w:szCs w:val="36"/>
          <w:lang w:eastAsia="zh-CN"/>
        </w:rPr>
        <w:t>密云区</w:t>
      </w:r>
      <w:r>
        <w:rPr>
          <w:rFonts w:hint="eastAsia"/>
          <w:b/>
          <w:color w:val="0000FF"/>
          <w:sz w:val="36"/>
          <w:szCs w:val="36"/>
        </w:rPr>
        <w:t>规模以上文化产业情况</w:t>
      </w:r>
    </w:p>
    <w:tbl>
      <w:tblPr>
        <w:tblStyle w:val="8"/>
        <w:tblpPr w:leftFromText="180" w:rightFromText="180" w:vertAnchor="text" w:horzAnchor="page" w:tblpX="2653" w:tblpY="620"/>
        <w:tblOverlap w:val="never"/>
        <w:tblW w:w="11860" w:type="dxa"/>
        <w:tblInd w:w="0" w:type="dxa"/>
        <w:tblLayout w:type="fixed"/>
        <w:tblCellMar>
          <w:top w:w="0" w:type="dxa"/>
          <w:left w:w="108" w:type="dxa"/>
          <w:bottom w:w="0" w:type="dxa"/>
          <w:right w:w="108" w:type="dxa"/>
        </w:tblCellMar>
      </w:tblPr>
      <w:tblGrid>
        <w:gridCol w:w="4868"/>
        <w:gridCol w:w="2544"/>
        <w:gridCol w:w="2264"/>
        <w:gridCol w:w="2184"/>
      </w:tblGrid>
      <w:tr>
        <w:tblPrEx>
          <w:tblLayout w:type="fixed"/>
        </w:tblPrEx>
        <w:trPr>
          <w:trHeight w:val="543" w:hRule="atLeast"/>
        </w:trPr>
        <w:tc>
          <w:tcPr>
            <w:tcW w:w="4868"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ind w:firstLine="1440" w:firstLineChars="600"/>
              <w:outlineLvl w:val="9"/>
              <w:rPr>
                <w:rFonts w:ascii="宋体" w:hAnsi="宋体" w:cs="宋体"/>
                <w:kern w:val="0"/>
                <w:sz w:val="24"/>
              </w:rPr>
            </w:pPr>
            <w:r>
              <w:rPr>
                <w:rFonts w:hint="eastAsia" w:ascii="宋体" w:hAnsi="宋体" w:cs="宋体"/>
                <w:kern w:val="0"/>
                <w:sz w:val="24"/>
              </w:rPr>
              <w:t>项  目</w:t>
            </w:r>
          </w:p>
        </w:tc>
        <w:tc>
          <w:tcPr>
            <w:tcW w:w="2544"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default" w:ascii="宋体" w:hAnsi="宋体" w:cs="宋体"/>
                <w:kern w:val="0"/>
                <w:sz w:val="24"/>
                <w:lang w:val="en"/>
              </w:rPr>
            </w:pPr>
            <w:r>
              <w:rPr>
                <w:rFonts w:hint="eastAsia" w:ascii="宋体" w:hAnsi="宋体" w:cs="宋体"/>
                <w:kern w:val="0"/>
                <w:sz w:val="24"/>
                <w:lang w:eastAsia="zh-CN"/>
              </w:rPr>
              <w:t>2025年</w:t>
            </w:r>
            <w:r>
              <w:rPr>
                <w:rFonts w:hint="eastAsia" w:ascii="宋体" w:hAnsi="宋体" w:cs="宋体"/>
                <w:kern w:val="0"/>
                <w:sz w:val="24"/>
                <w:lang w:val="en" w:eastAsia="zh-CN"/>
              </w:rPr>
              <w:t>1-1</w:t>
            </w:r>
            <w:r>
              <w:rPr>
                <w:rFonts w:hint="eastAsia" w:ascii="宋体" w:hAnsi="宋体" w:cs="宋体"/>
                <w:kern w:val="0"/>
                <w:sz w:val="24"/>
                <w:lang w:val="en-US" w:eastAsia="zh-CN"/>
              </w:rPr>
              <w:t>1</w:t>
            </w:r>
            <w:r>
              <w:rPr>
                <w:rFonts w:hint="eastAsia" w:ascii="宋体" w:hAnsi="宋体" w:cs="宋体"/>
                <w:kern w:val="0"/>
                <w:sz w:val="24"/>
                <w:lang w:val="en" w:eastAsia="zh-CN"/>
              </w:rPr>
              <w:t>月</w:t>
            </w:r>
          </w:p>
        </w:tc>
        <w:tc>
          <w:tcPr>
            <w:tcW w:w="2264"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default" w:ascii="宋体" w:hAnsi="宋体" w:cs="宋体"/>
                <w:kern w:val="0"/>
                <w:sz w:val="24"/>
                <w:lang w:val="en"/>
              </w:rPr>
            </w:pPr>
            <w:r>
              <w:rPr>
                <w:rFonts w:hint="eastAsia" w:ascii="宋体" w:hAnsi="宋体" w:cs="宋体"/>
                <w:kern w:val="0"/>
                <w:sz w:val="24"/>
                <w:lang w:eastAsia="zh-CN"/>
              </w:rPr>
              <w:t>2024年</w:t>
            </w:r>
            <w:r>
              <w:rPr>
                <w:rFonts w:hint="eastAsia" w:ascii="宋体" w:hAnsi="宋体" w:cs="宋体"/>
                <w:kern w:val="0"/>
                <w:sz w:val="24"/>
                <w:lang w:val="en" w:eastAsia="zh-CN"/>
              </w:rPr>
              <w:t>1-1</w:t>
            </w:r>
            <w:r>
              <w:rPr>
                <w:rFonts w:hint="eastAsia" w:ascii="宋体" w:hAnsi="宋体" w:cs="宋体"/>
                <w:kern w:val="0"/>
                <w:sz w:val="24"/>
                <w:lang w:val="en-US" w:eastAsia="zh-CN"/>
              </w:rPr>
              <w:t>1</w:t>
            </w:r>
            <w:r>
              <w:rPr>
                <w:rFonts w:hint="eastAsia" w:ascii="宋体" w:hAnsi="宋体" w:cs="宋体"/>
                <w:kern w:val="0"/>
                <w:sz w:val="24"/>
                <w:lang w:val="en" w:eastAsia="zh-CN"/>
              </w:rPr>
              <w:t>月</w:t>
            </w:r>
          </w:p>
        </w:tc>
        <w:tc>
          <w:tcPr>
            <w:tcW w:w="2184" w:type="dxa"/>
            <w:tcBorders>
              <w:top w:val="single" w:color="auto" w:sz="8" w:space="0"/>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ascii="宋体" w:hAnsi="宋体" w:cs="宋体"/>
                <w:kern w:val="0"/>
                <w:sz w:val="24"/>
              </w:rPr>
            </w:pPr>
            <w:r>
              <w:rPr>
                <w:rFonts w:hint="eastAsia" w:ascii="宋体" w:hAnsi="宋体" w:cs="宋体"/>
                <w:kern w:val="0"/>
                <w:sz w:val="24"/>
              </w:rPr>
              <w:t>同比增长（%）</w:t>
            </w:r>
          </w:p>
        </w:tc>
      </w:tr>
      <w:tr>
        <w:tblPrEx>
          <w:tblLayout w:type="fixed"/>
          <w:tblCellMar>
            <w:top w:w="0" w:type="dxa"/>
            <w:left w:w="108" w:type="dxa"/>
            <w:bottom w:w="0" w:type="dxa"/>
            <w:right w:w="108" w:type="dxa"/>
          </w:tblCellMar>
        </w:tblPrEx>
        <w:trPr>
          <w:trHeight w:val="607" w:hRule="atLeast"/>
        </w:trPr>
        <w:tc>
          <w:tcPr>
            <w:tcW w:w="4868"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outlineLvl w:val="9"/>
              <w:rPr>
                <w:rFonts w:ascii="宋体" w:hAnsi="宋体" w:cs="宋体"/>
                <w:kern w:val="0"/>
                <w:sz w:val="24"/>
              </w:rPr>
            </w:pPr>
            <w:r>
              <w:rPr>
                <w:rFonts w:hint="eastAsia" w:ascii="宋体" w:hAnsi="宋体" w:cs="宋体"/>
                <w:kern w:val="0"/>
                <w:sz w:val="24"/>
              </w:rPr>
              <w:t>收入合计（亿元）</w:t>
            </w:r>
          </w:p>
        </w:tc>
        <w:tc>
          <w:tcPr>
            <w:tcW w:w="2544" w:type="dxa"/>
            <w:tcBorders>
              <w:top w:val="nil"/>
              <w:left w:val="nil"/>
              <w:bottom w:val="nil"/>
              <w:right w:val="single" w:color="auto" w:sz="4" w:space="0"/>
            </w:tcBorders>
            <w:vAlign w:val="center"/>
          </w:tcPr>
          <w:p>
            <w:pPr>
              <w:keepNext w:val="0"/>
              <w:keepLines w:val="0"/>
              <w:widowControl/>
              <w:suppressLineNumbers w:val="0"/>
              <w:jc w:val="right"/>
              <w:textAlignment w:val="bottom"/>
              <w:rPr>
                <w:rFonts w:hint="default" w:ascii="宋体" w:hAnsi="宋体" w:eastAsia="宋体" w:cs="宋体"/>
                <w:sz w:val="24"/>
                <w:lang w:val="en-US" w:eastAsia="zh-CN"/>
              </w:rPr>
            </w:pPr>
            <w:r>
              <w:rPr>
                <w:rFonts w:hint="eastAsia" w:ascii="宋体" w:hAnsi="宋体" w:cs="宋体"/>
                <w:sz w:val="24"/>
                <w:lang w:val="en-US" w:eastAsia="zh-CN"/>
              </w:rPr>
              <w:t>62.7</w:t>
            </w:r>
          </w:p>
        </w:tc>
        <w:tc>
          <w:tcPr>
            <w:tcW w:w="2264" w:type="dxa"/>
            <w:tcBorders>
              <w:top w:val="nil"/>
              <w:left w:val="nil"/>
              <w:bottom w:val="nil"/>
              <w:right w:val="single" w:color="auto" w:sz="4" w:space="0"/>
            </w:tcBorders>
            <w:vAlign w:val="center"/>
          </w:tcPr>
          <w:p>
            <w:pPr>
              <w:keepNext w:val="0"/>
              <w:keepLines w:val="0"/>
              <w:widowControl/>
              <w:suppressLineNumbers w:val="0"/>
              <w:jc w:val="right"/>
              <w:textAlignment w:val="bottom"/>
              <w:rPr>
                <w:rFonts w:hint="default" w:ascii="宋体" w:hAnsi="宋体" w:eastAsia="宋体" w:cs="宋体"/>
                <w:sz w:val="24"/>
                <w:lang w:val="en-US" w:eastAsia="zh-CN"/>
              </w:rPr>
            </w:pPr>
            <w:r>
              <w:rPr>
                <w:rFonts w:hint="eastAsia" w:ascii="宋体" w:hAnsi="宋体" w:cs="宋体"/>
                <w:sz w:val="24"/>
                <w:lang w:val="en-US" w:eastAsia="zh-CN"/>
              </w:rPr>
              <w:t>67.1</w:t>
            </w:r>
          </w:p>
        </w:tc>
        <w:tc>
          <w:tcPr>
            <w:tcW w:w="2184" w:type="dxa"/>
            <w:tcBorders>
              <w:top w:val="nil"/>
              <w:left w:val="nil"/>
              <w:bottom w:val="nil"/>
              <w:right w:val="nil"/>
            </w:tcBorders>
            <w:vAlign w:val="center"/>
          </w:tcPr>
          <w:p>
            <w:pPr>
              <w:keepNext w:val="0"/>
              <w:keepLines w:val="0"/>
              <w:widowControl/>
              <w:suppressLineNumbers w:val="0"/>
              <w:jc w:val="right"/>
              <w:textAlignment w:val="bottom"/>
              <w:rPr>
                <w:rFonts w:hint="default" w:ascii="宋体" w:hAnsi="宋体" w:eastAsia="宋体" w:cs="宋体"/>
                <w:sz w:val="24"/>
                <w:lang w:val="en-US" w:eastAsia="zh-CN"/>
              </w:rPr>
            </w:pPr>
            <w:r>
              <w:rPr>
                <w:rFonts w:hint="eastAsia" w:ascii="宋体" w:hAnsi="宋体" w:cs="宋体"/>
                <w:sz w:val="24"/>
                <w:lang w:val="en-US" w:eastAsia="zh-CN"/>
              </w:rPr>
              <w:t>-6.5</w:t>
            </w:r>
          </w:p>
        </w:tc>
      </w:tr>
      <w:tr>
        <w:tblPrEx>
          <w:tblLayout w:type="fixed"/>
          <w:tblCellMar>
            <w:top w:w="0" w:type="dxa"/>
            <w:left w:w="108" w:type="dxa"/>
            <w:bottom w:w="0" w:type="dxa"/>
            <w:right w:w="108" w:type="dxa"/>
          </w:tblCellMar>
        </w:tblPrEx>
        <w:trPr>
          <w:trHeight w:val="1859" w:hRule="atLeast"/>
        </w:trPr>
        <w:tc>
          <w:tcPr>
            <w:tcW w:w="11860" w:type="dxa"/>
            <w:gridSpan w:val="4"/>
            <w:tcBorders>
              <w:top w:val="single" w:color="auto" w:sz="8" w:space="0"/>
              <w:left w:val="nil"/>
            </w:tcBorders>
            <w:vAlign w:val="top"/>
          </w:tcPr>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bCs/>
                <w:sz w:val="24"/>
              </w:rPr>
            </w:pPr>
            <w:r>
              <w:rPr>
                <w:rFonts w:hint="eastAsia" w:ascii="楷体_GB2312" w:hAnsi="宋体" w:eastAsia="楷体_GB2312" w:cs="宋体"/>
                <w:bCs/>
                <w:sz w:val="24"/>
              </w:rPr>
              <w:t>注释：</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kern w:val="2"/>
                <w:sz w:val="24"/>
                <w:szCs w:val="24"/>
                <w:lang w:val="en-US" w:eastAsia="zh-CN" w:bidi="ar-SA"/>
              </w:rPr>
            </w:pPr>
            <w:r>
              <w:rPr>
                <w:rFonts w:hint="eastAsia" w:ascii="楷体_GB2312" w:hAnsi="宋体" w:eastAsia="楷体_GB2312" w:cs="宋体"/>
                <w:b/>
                <w:bCs/>
                <w:sz w:val="24"/>
                <w:lang w:eastAsia="zh-CN"/>
              </w:rPr>
              <w:t>一、</w:t>
            </w:r>
            <w:r>
              <w:rPr>
                <w:rFonts w:hint="eastAsia" w:ascii="楷体_GB2312" w:hAnsi="宋体" w:eastAsia="楷体_GB2312" w:cs="宋体"/>
                <w:b/>
                <w:bCs/>
                <w:sz w:val="24"/>
              </w:rPr>
              <w:t>统计范围：</w:t>
            </w:r>
            <w:r>
              <w:rPr>
                <w:rFonts w:hint="eastAsia" w:ascii="楷体_GB2312" w:hAnsi="宋体" w:eastAsia="楷体_GB2312" w:cs="宋体"/>
                <w:kern w:val="2"/>
                <w:sz w:val="24"/>
                <w:szCs w:val="24"/>
                <w:lang w:val="en-US" w:eastAsia="zh-CN" w:bidi="ar-SA"/>
              </w:rPr>
              <w:t>本表数据统计范围为规模以上文化产业法人单位。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kern w:val="2"/>
                <w:sz w:val="24"/>
                <w:szCs w:val="24"/>
                <w:lang w:val="en-US" w:eastAsia="zh-CN" w:bidi="ar-SA"/>
              </w:rPr>
              <w:t>１.</w:t>
            </w:r>
            <w:r>
              <w:rPr>
                <w:rFonts w:hint="eastAsia" w:ascii="楷体_GB2312" w:hAnsi="宋体" w:eastAsia="楷体_GB2312" w:cs="宋体"/>
                <w:sz w:val="24"/>
                <w:lang w:val="en-US" w:eastAsia="zh-CN"/>
              </w:rPr>
              <w:t>文化产业：执行国家统计局印发的《文化及相关产业分类（2018）》。文化及相关产业内涵具体包括：（1）以文化为核心内容，为直接满足人们的精神需要而进行的创作、制造、传播、展示等文化产品（包括货物和服务）的生产活动。具体包括新闻信息服务、内容创作生产、创意设计服务</w:t>
            </w:r>
            <w:bookmarkStart w:id="0" w:name="_GoBack"/>
            <w:bookmarkEnd w:id="0"/>
            <w:r>
              <w:rPr>
                <w:rFonts w:hint="eastAsia" w:ascii="楷体_GB2312" w:hAnsi="宋体" w:eastAsia="楷体_GB2312" w:cs="宋体"/>
                <w:sz w:val="24"/>
                <w:lang w:val="en-US" w:eastAsia="zh-CN"/>
              </w:rPr>
              <w:t>、文化传播渠道、文化投资运营和文化娱乐休闲服务等活动。（2）为实现文化产品的生产活动所需的文化辅助生产和中介服务、文化装备生产和文化消费终端生产（包括制造和销售）等活动。</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2.规模以上的标准具体为：</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（1）年主营业务收入2000万元及以上的工业法人单位。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（2）年主营业务收入2000万元及以上的批发业法人单位。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（3）年主营业务收入500万元及以上的零售业法人单位。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（4）年营业收入2000万元及以上的交通运输、仓储和邮政业，信息传输、软件和信息技术服务业，水利、环境和公共设施管理业服务业企业法人单位。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（5）年营业收入1000万元及以上的租赁和商务服务业，科学研究和技术服务业，教育服务业企业法人单位。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（6）年营业收入500万元及以上的居民服务、修理和其他服务业，文化、体育和娱乐业服务业企业法人单位。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7）年收入合计1000万元及以上的交通运输、仓储和邮政业，信息传输、软件和信息技术服务业，租赁和商务服务业，科学研究和技术服务业，水利、环境和公共设施管理业，居民服务、修理和其他服务业，教育，文化、体育和娱乐业事业、民间非营利组织服务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3.本表数据按国民经济行业分类（GB/T 4754-2017）标准汇总。</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b/>
                <w:bCs/>
                <w:sz w:val="24"/>
                <w:lang w:eastAsia="zh-CN"/>
              </w:rPr>
              <w:t>二、</w:t>
            </w:r>
            <w:r>
              <w:rPr>
                <w:rFonts w:hint="eastAsia" w:ascii="楷体_GB2312" w:hAnsi="宋体" w:eastAsia="楷体_GB2312" w:cs="宋体"/>
                <w:b/>
                <w:bCs/>
                <w:sz w:val="24"/>
                <w:szCs w:val="24"/>
              </w:rPr>
              <w:t>主要统计指标解释</w:t>
            </w:r>
            <w:r>
              <w:rPr>
                <w:rFonts w:hint="eastAsia" w:ascii="楷体_GB2312" w:hAnsi="宋体" w:eastAsia="楷体_GB2312" w:cs="宋体"/>
                <w:bCs/>
                <w:sz w:val="24"/>
                <w:szCs w:val="24"/>
              </w:rPr>
              <w:t>：</w:t>
            </w:r>
            <w:r>
              <w:rPr>
                <w:rFonts w:hint="eastAsia" w:ascii="楷体_GB2312" w:hAnsi="宋体" w:eastAsia="楷体_GB2312" w:cs="宋体"/>
                <w:sz w:val="24"/>
                <w:lang w:val="en-US" w:eastAsia="zh-CN"/>
              </w:rPr>
              <w:t>收入合计：指单位取得的各类收入，包括企业的营业收入和事业单位、民间非营利组织的收入合计。企业营业收入指企业生产经营活动形成的经济利益流入，包括主营业务收入和其他业务收入。事业单位收入包括财政拨款收入、事业收入、上级补助收入、经营收入、附属单位上缴收入和其他收入等。民间非营利组织收入指开展业务活动取得的、导致本期净资产增加的经济利益或者服务潜力的流入，按照其来源分为捐赠收入、会费收入、提供服务收入、商品销售收入、政府补助收入、投资收益和其他收入。</w:t>
            </w:r>
          </w:p>
          <w:p>
            <w:pPr>
              <w:keepNext w:val="0"/>
              <w:keepLines w:val="0"/>
              <w:pageBreakBefore w:val="0"/>
              <w:kinsoku/>
              <w:wordWrap/>
              <w:overflowPunct/>
              <w:topLinePunct w:val="0"/>
              <w:autoSpaceDE/>
              <w:autoSpaceDN/>
              <w:bidi w:val="0"/>
              <w:adjustRightInd w:val="0"/>
              <w:snapToGrid w:val="0"/>
              <w:outlineLvl w:val="9"/>
              <w:rPr>
                <w:rFonts w:hint="eastAsia" w:ascii="楷体_GB2312" w:hAnsi="宋体" w:eastAsia="楷体_GB2312" w:cs="宋体"/>
                <w:b/>
                <w:bCs/>
                <w:sz w:val="24"/>
              </w:rPr>
            </w:pPr>
            <w:r>
              <w:rPr>
                <w:rFonts w:hint="eastAsia" w:ascii="楷体_GB2312" w:hAnsi="宋体" w:eastAsia="楷体_GB2312" w:cs="宋体"/>
                <w:b/>
                <w:bCs/>
                <w:sz w:val="24"/>
                <w:lang w:val="en-US" w:eastAsia="zh-CN"/>
              </w:rPr>
              <w:t>三、相关说明</w:t>
            </w:r>
            <w:r>
              <w:rPr>
                <w:rFonts w:hint="eastAsia" w:ascii="楷体_GB2312" w:hAnsi="宋体" w:eastAsia="楷体_GB2312" w:cs="宋体"/>
                <w:bCs/>
                <w:sz w:val="24"/>
                <w:szCs w:val="24"/>
              </w:rPr>
              <w:t>：</w:t>
            </w:r>
            <w:r>
              <w:rPr>
                <w:rFonts w:hint="eastAsia" w:ascii="楷体_GB2312" w:hAnsi="宋体" w:eastAsia="楷体_GB2312" w:cs="宋体"/>
                <w:kern w:val="0"/>
                <w:sz w:val="24"/>
                <w:szCs w:val="24"/>
                <w:lang w:val="en-US" w:eastAsia="zh-CN" w:bidi="ar-SA"/>
              </w:rPr>
              <w:t>本表中统计指标增速的计算口径为：报告期规模以上文化产业法人单位本期数据与其上年同期数据相比的增速。</w:t>
            </w:r>
          </w:p>
        </w:tc>
      </w:tr>
    </w:tbl>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pStyle w:val="2"/>
        <w:rPr>
          <w:rFonts w:hint="default"/>
          <w:b/>
          <w:color w:val="0000FF"/>
          <w:sz w:val="36"/>
          <w:szCs w:val="36"/>
          <w:lang w:val="en" w:eastAsia="zh-CN"/>
        </w:rPr>
      </w:pPr>
    </w:p>
    <w:p>
      <w:pPr>
        <w:rPr>
          <w:rFonts w:hint="default"/>
          <w:b/>
          <w:color w:val="0000FF"/>
          <w:sz w:val="36"/>
          <w:szCs w:val="36"/>
          <w:lang w:val="en" w:eastAsia="zh-CN"/>
        </w:rPr>
      </w:pPr>
    </w:p>
    <w:p>
      <w:pPr>
        <w:pStyle w:val="2"/>
        <w:rPr>
          <w:rFonts w:hint="default"/>
          <w:b/>
          <w:color w:val="0000FF"/>
          <w:sz w:val="36"/>
          <w:szCs w:val="36"/>
          <w:lang w:val="en" w:eastAsia="zh-CN"/>
        </w:rPr>
      </w:pPr>
    </w:p>
    <w:p>
      <w:pPr>
        <w:rPr>
          <w:rFonts w:hint="default"/>
          <w:b/>
          <w:color w:val="0000FF"/>
          <w:sz w:val="36"/>
          <w:szCs w:val="36"/>
          <w:lang w:val="en" w:eastAsia="zh-CN"/>
        </w:rPr>
      </w:pPr>
    </w:p>
    <w:p>
      <w:pPr>
        <w:pStyle w:val="2"/>
        <w:rPr>
          <w:rFonts w:hint="default"/>
          <w:lang w:val="en" w:eastAsia="zh-CN"/>
        </w:rPr>
      </w:pPr>
    </w:p>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pStyle w:val="2"/>
        <w:rPr>
          <w:rFonts w:hint="eastAsia"/>
          <w:lang w:val="en-US" w:eastAsia="zh-CN"/>
        </w:rPr>
      </w:pPr>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DE4569"/>
    <w:rsid w:val="01EA0DDF"/>
    <w:rsid w:val="021113C5"/>
    <w:rsid w:val="02383BF7"/>
    <w:rsid w:val="04B3291D"/>
    <w:rsid w:val="05144DE3"/>
    <w:rsid w:val="056063CD"/>
    <w:rsid w:val="0638629E"/>
    <w:rsid w:val="065A435E"/>
    <w:rsid w:val="0693162F"/>
    <w:rsid w:val="06BD48AA"/>
    <w:rsid w:val="08FE4A5D"/>
    <w:rsid w:val="09350139"/>
    <w:rsid w:val="0979482C"/>
    <w:rsid w:val="09B712A8"/>
    <w:rsid w:val="0AC36A44"/>
    <w:rsid w:val="0B55531A"/>
    <w:rsid w:val="0B7B2A58"/>
    <w:rsid w:val="0BD8075B"/>
    <w:rsid w:val="0BFA39C5"/>
    <w:rsid w:val="0C683C8D"/>
    <w:rsid w:val="0CA36702"/>
    <w:rsid w:val="0E4220D5"/>
    <w:rsid w:val="0E927B34"/>
    <w:rsid w:val="0EDD0097"/>
    <w:rsid w:val="103E310E"/>
    <w:rsid w:val="118634F1"/>
    <w:rsid w:val="12917D5A"/>
    <w:rsid w:val="13BA65BA"/>
    <w:rsid w:val="13C96186"/>
    <w:rsid w:val="13DB96C9"/>
    <w:rsid w:val="141623DE"/>
    <w:rsid w:val="163459DA"/>
    <w:rsid w:val="169355EC"/>
    <w:rsid w:val="172B5C42"/>
    <w:rsid w:val="176149FE"/>
    <w:rsid w:val="19715261"/>
    <w:rsid w:val="1A21665C"/>
    <w:rsid w:val="1AD30A1E"/>
    <w:rsid w:val="1AD8402B"/>
    <w:rsid w:val="1B0B13DC"/>
    <w:rsid w:val="1B122FB6"/>
    <w:rsid w:val="1BCD0481"/>
    <w:rsid w:val="1C0E5505"/>
    <w:rsid w:val="1C276350"/>
    <w:rsid w:val="1C56369B"/>
    <w:rsid w:val="1CD46D9A"/>
    <w:rsid w:val="1D8D5B77"/>
    <w:rsid w:val="1D98136E"/>
    <w:rsid w:val="1DFB1785"/>
    <w:rsid w:val="1EB84662"/>
    <w:rsid w:val="1FFF4CB5"/>
    <w:rsid w:val="21382369"/>
    <w:rsid w:val="21784A05"/>
    <w:rsid w:val="22DB4243"/>
    <w:rsid w:val="23543D99"/>
    <w:rsid w:val="236F1C12"/>
    <w:rsid w:val="248C2EED"/>
    <w:rsid w:val="256C6363"/>
    <w:rsid w:val="25A15611"/>
    <w:rsid w:val="25E84811"/>
    <w:rsid w:val="26A37460"/>
    <w:rsid w:val="27174A9F"/>
    <w:rsid w:val="285E57AA"/>
    <w:rsid w:val="28DD1ED1"/>
    <w:rsid w:val="29303B10"/>
    <w:rsid w:val="29763C32"/>
    <w:rsid w:val="29AD74D8"/>
    <w:rsid w:val="29FB5780"/>
    <w:rsid w:val="2A94053E"/>
    <w:rsid w:val="2BEF4705"/>
    <w:rsid w:val="2C644628"/>
    <w:rsid w:val="2C6C1E73"/>
    <w:rsid w:val="2D076D14"/>
    <w:rsid w:val="2E29008C"/>
    <w:rsid w:val="2E2B4EE6"/>
    <w:rsid w:val="2E6C7B7D"/>
    <w:rsid w:val="2EC71D67"/>
    <w:rsid w:val="2EFD0F86"/>
    <w:rsid w:val="2F457D92"/>
    <w:rsid w:val="2F5B14A5"/>
    <w:rsid w:val="2F8D73F0"/>
    <w:rsid w:val="2FBDC9F1"/>
    <w:rsid w:val="315F1FAD"/>
    <w:rsid w:val="31767B07"/>
    <w:rsid w:val="32326294"/>
    <w:rsid w:val="32812E6E"/>
    <w:rsid w:val="32A7716C"/>
    <w:rsid w:val="33661F81"/>
    <w:rsid w:val="338177D2"/>
    <w:rsid w:val="33EA3D20"/>
    <w:rsid w:val="349C766D"/>
    <w:rsid w:val="34C40933"/>
    <w:rsid w:val="352C3131"/>
    <w:rsid w:val="36381881"/>
    <w:rsid w:val="364D3747"/>
    <w:rsid w:val="368A245A"/>
    <w:rsid w:val="36B82B10"/>
    <w:rsid w:val="36BE5A08"/>
    <w:rsid w:val="36DB2072"/>
    <w:rsid w:val="37EF20A6"/>
    <w:rsid w:val="38AC4A90"/>
    <w:rsid w:val="392A6086"/>
    <w:rsid w:val="393A7BCB"/>
    <w:rsid w:val="39C8393A"/>
    <w:rsid w:val="3ACA405B"/>
    <w:rsid w:val="3AEE30EC"/>
    <w:rsid w:val="3B4C203F"/>
    <w:rsid w:val="3B505972"/>
    <w:rsid w:val="3C094926"/>
    <w:rsid w:val="3CA06950"/>
    <w:rsid w:val="3CD34D5E"/>
    <w:rsid w:val="3CFD8C2D"/>
    <w:rsid w:val="3DF66AB0"/>
    <w:rsid w:val="3E5544D7"/>
    <w:rsid w:val="3ED06649"/>
    <w:rsid w:val="3EFB9B05"/>
    <w:rsid w:val="3FA684FA"/>
    <w:rsid w:val="3FAB96BE"/>
    <w:rsid w:val="3FBF1369"/>
    <w:rsid w:val="3FDB5DF1"/>
    <w:rsid w:val="3FDED793"/>
    <w:rsid w:val="3FDF4110"/>
    <w:rsid w:val="3FF311AD"/>
    <w:rsid w:val="3FFE10C8"/>
    <w:rsid w:val="401D61C0"/>
    <w:rsid w:val="414B607C"/>
    <w:rsid w:val="41A3549E"/>
    <w:rsid w:val="426042E3"/>
    <w:rsid w:val="42D90AF2"/>
    <w:rsid w:val="440C601A"/>
    <w:rsid w:val="441A04D4"/>
    <w:rsid w:val="46216826"/>
    <w:rsid w:val="46FF42F7"/>
    <w:rsid w:val="475234D8"/>
    <w:rsid w:val="476A13E8"/>
    <w:rsid w:val="47790412"/>
    <w:rsid w:val="47A86E6D"/>
    <w:rsid w:val="47E027CA"/>
    <w:rsid w:val="47FEAB4D"/>
    <w:rsid w:val="489B5BDB"/>
    <w:rsid w:val="4937785D"/>
    <w:rsid w:val="49991E6A"/>
    <w:rsid w:val="4A470FC9"/>
    <w:rsid w:val="4AE90A8D"/>
    <w:rsid w:val="4B3D5C27"/>
    <w:rsid w:val="4B4551F2"/>
    <w:rsid w:val="4C2220D4"/>
    <w:rsid w:val="4C6D69D1"/>
    <w:rsid w:val="4CEB2530"/>
    <w:rsid w:val="4D1BC49A"/>
    <w:rsid w:val="4D8016E5"/>
    <w:rsid w:val="4D863A49"/>
    <w:rsid w:val="4D9327C0"/>
    <w:rsid w:val="4DC718E7"/>
    <w:rsid w:val="4DD01001"/>
    <w:rsid w:val="4E665BA6"/>
    <w:rsid w:val="4F024081"/>
    <w:rsid w:val="4F560168"/>
    <w:rsid w:val="4F5746E4"/>
    <w:rsid w:val="4F6D24BE"/>
    <w:rsid w:val="4FF703F7"/>
    <w:rsid w:val="50D8657E"/>
    <w:rsid w:val="51512E17"/>
    <w:rsid w:val="526977BB"/>
    <w:rsid w:val="52FB1BC2"/>
    <w:rsid w:val="53EF48C2"/>
    <w:rsid w:val="53F57A86"/>
    <w:rsid w:val="54895C40"/>
    <w:rsid w:val="54F42AFF"/>
    <w:rsid w:val="55600A1D"/>
    <w:rsid w:val="5567A25D"/>
    <w:rsid w:val="55B05FB6"/>
    <w:rsid w:val="560D74DF"/>
    <w:rsid w:val="567412A4"/>
    <w:rsid w:val="568A0C6F"/>
    <w:rsid w:val="56BB328C"/>
    <w:rsid w:val="57370DD3"/>
    <w:rsid w:val="57605D7D"/>
    <w:rsid w:val="57B35CE2"/>
    <w:rsid w:val="58913AC3"/>
    <w:rsid w:val="58BE61D2"/>
    <w:rsid w:val="58E67C05"/>
    <w:rsid w:val="590F83E0"/>
    <w:rsid w:val="59375F5C"/>
    <w:rsid w:val="59630F03"/>
    <w:rsid w:val="597F8F05"/>
    <w:rsid w:val="5A055849"/>
    <w:rsid w:val="5A271408"/>
    <w:rsid w:val="5B73140F"/>
    <w:rsid w:val="5C9300D0"/>
    <w:rsid w:val="5CB32703"/>
    <w:rsid w:val="5CD35BE5"/>
    <w:rsid w:val="5D0004C6"/>
    <w:rsid w:val="5D4E0726"/>
    <w:rsid w:val="5D8F6061"/>
    <w:rsid w:val="5FBF9E10"/>
    <w:rsid w:val="5FC37593"/>
    <w:rsid w:val="5FDF0B1C"/>
    <w:rsid w:val="60FA610A"/>
    <w:rsid w:val="613D007B"/>
    <w:rsid w:val="61C65AFE"/>
    <w:rsid w:val="62578C3C"/>
    <w:rsid w:val="62612361"/>
    <w:rsid w:val="639114E6"/>
    <w:rsid w:val="65797765"/>
    <w:rsid w:val="663F737A"/>
    <w:rsid w:val="675F8F65"/>
    <w:rsid w:val="67927ED5"/>
    <w:rsid w:val="67CB7260"/>
    <w:rsid w:val="67FD4902"/>
    <w:rsid w:val="687C1C1C"/>
    <w:rsid w:val="699E7C2F"/>
    <w:rsid w:val="69BE7033"/>
    <w:rsid w:val="69F16919"/>
    <w:rsid w:val="6A294847"/>
    <w:rsid w:val="6A65276C"/>
    <w:rsid w:val="6AC47901"/>
    <w:rsid w:val="6AFF3DA2"/>
    <w:rsid w:val="6B320384"/>
    <w:rsid w:val="6C02332D"/>
    <w:rsid w:val="6C0F7A99"/>
    <w:rsid w:val="6C257DC9"/>
    <w:rsid w:val="6C4B421F"/>
    <w:rsid w:val="6D5A4B7F"/>
    <w:rsid w:val="6EA39D6C"/>
    <w:rsid w:val="6F9D743A"/>
    <w:rsid w:val="6FBF1FE6"/>
    <w:rsid w:val="6FC7354D"/>
    <w:rsid w:val="6FFEDE62"/>
    <w:rsid w:val="6FFF682D"/>
    <w:rsid w:val="6FFFDF34"/>
    <w:rsid w:val="71080D89"/>
    <w:rsid w:val="7175080B"/>
    <w:rsid w:val="7186F4B4"/>
    <w:rsid w:val="726A1098"/>
    <w:rsid w:val="737B2704"/>
    <w:rsid w:val="73A6F0C8"/>
    <w:rsid w:val="73CC0211"/>
    <w:rsid w:val="73EFABBB"/>
    <w:rsid w:val="741F23A4"/>
    <w:rsid w:val="74501C96"/>
    <w:rsid w:val="757EAA3D"/>
    <w:rsid w:val="75DFCC41"/>
    <w:rsid w:val="75E61BEE"/>
    <w:rsid w:val="75EE766E"/>
    <w:rsid w:val="75F745C8"/>
    <w:rsid w:val="7607511D"/>
    <w:rsid w:val="765833C3"/>
    <w:rsid w:val="77166765"/>
    <w:rsid w:val="7720627A"/>
    <w:rsid w:val="778962BC"/>
    <w:rsid w:val="779A77AC"/>
    <w:rsid w:val="77E9D9C2"/>
    <w:rsid w:val="77F30C7B"/>
    <w:rsid w:val="78B553DE"/>
    <w:rsid w:val="78E85C94"/>
    <w:rsid w:val="791B108A"/>
    <w:rsid w:val="797D4315"/>
    <w:rsid w:val="7A100E94"/>
    <w:rsid w:val="7AC2683B"/>
    <w:rsid w:val="7B423B59"/>
    <w:rsid w:val="7B6FE944"/>
    <w:rsid w:val="7BA3EC91"/>
    <w:rsid w:val="7BE787CF"/>
    <w:rsid w:val="7C58388D"/>
    <w:rsid w:val="7C7A5981"/>
    <w:rsid w:val="7CF5D5DB"/>
    <w:rsid w:val="7D7EC8CD"/>
    <w:rsid w:val="7DFF7F9D"/>
    <w:rsid w:val="7E282AF5"/>
    <w:rsid w:val="7E3D82B6"/>
    <w:rsid w:val="7E7F0693"/>
    <w:rsid w:val="7EBE223A"/>
    <w:rsid w:val="7ED92472"/>
    <w:rsid w:val="7ED99CC2"/>
    <w:rsid w:val="7F1879BC"/>
    <w:rsid w:val="7F3A5975"/>
    <w:rsid w:val="7F5E5D34"/>
    <w:rsid w:val="7F691DFB"/>
    <w:rsid w:val="7FCBA4F8"/>
    <w:rsid w:val="7FFF1899"/>
    <w:rsid w:val="81EB3C3A"/>
    <w:rsid w:val="8CDA845A"/>
    <w:rsid w:val="8ECFFD56"/>
    <w:rsid w:val="8FDD6C5D"/>
    <w:rsid w:val="95CB16DE"/>
    <w:rsid w:val="99B77EE0"/>
    <w:rsid w:val="9E7B6197"/>
    <w:rsid w:val="9FED37BA"/>
    <w:rsid w:val="A1F996D1"/>
    <w:rsid w:val="AB6F98F3"/>
    <w:rsid w:val="B7799B9E"/>
    <w:rsid w:val="B7FF7374"/>
    <w:rsid w:val="BB9F279F"/>
    <w:rsid w:val="BCB190C7"/>
    <w:rsid w:val="BD7F112E"/>
    <w:rsid w:val="BDF6F2E2"/>
    <w:rsid w:val="BF69E885"/>
    <w:rsid w:val="BFB650B6"/>
    <w:rsid w:val="C6FCE371"/>
    <w:rsid w:val="C7F7F066"/>
    <w:rsid w:val="CBFF8A60"/>
    <w:rsid w:val="CD3B0D55"/>
    <w:rsid w:val="CFFF4E9E"/>
    <w:rsid w:val="D57D44D0"/>
    <w:rsid w:val="D77C3604"/>
    <w:rsid w:val="D7EE2A06"/>
    <w:rsid w:val="DA77DE6A"/>
    <w:rsid w:val="DBB74874"/>
    <w:rsid w:val="DD3FDC7E"/>
    <w:rsid w:val="DDF6AF67"/>
    <w:rsid w:val="DF67A038"/>
    <w:rsid w:val="DF7BDF92"/>
    <w:rsid w:val="DF8DE048"/>
    <w:rsid w:val="DFAB23FE"/>
    <w:rsid w:val="DFB724C3"/>
    <w:rsid w:val="DFBFE4DB"/>
    <w:rsid w:val="DFFCAA03"/>
    <w:rsid w:val="E2FFA600"/>
    <w:rsid w:val="E7DD7C91"/>
    <w:rsid w:val="E7F7B4E4"/>
    <w:rsid w:val="E7FDA2F2"/>
    <w:rsid w:val="EA6790F0"/>
    <w:rsid w:val="EBEF1CA0"/>
    <w:rsid w:val="EBF5BF5A"/>
    <w:rsid w:val="EDFE27A9"/>
    <w:rsid w:val="EE7BA821"/>
    <w:rsid w:val="EEFF3E89"/>
    <w:rsid w:val="EF7D7BB4"/>
    <w:rsid w:val="EF99AF02"/>
    <w:rsid w:val="F047853D"/>
    <w:rsid w:val="F2ECBDBB"/>
    <w:rsid w:val="F4C7C781"/>
    <w:rsid w:val="F5FDF678"/>
    <w:rsid w:val="F5FF6C02"/>
    <w:rsid w:val="F69F3012"/>
    <w:rsid w:val="F6FE7D1F"/>
    <w:rsid w:val="F77E2CBB"/>
    <w:rsid w:val="F7AB5BD3"/>
    <w:rsid w:val="F7B564CC"/>
    <w:rsid w:val="F7BF082A"/>
    <w:rsid w:val="F7BFE11D"/>
    <w:rsid w:val="FAFF5057"/>
    <w:rsid w:val="FB7704E9"/>
    <w:rsid w:val="FBBD267F"/>
    <w:rsid w:val="FBBD6810"/>
    <w:rsid w:val="FBDF6E2B"/>
    <w:rsid w:val="FBF3580F"/>
    <w:rsid w:val="FBFF326E"/>
    <w:rsid w:val="FD1EC79F"/>
    <w:rsid w:val="FD661357"/>
    <w:rsid w:val="FDF3622D"/>
    <w:rsid w:val="FE1BD8BF"/>
    <w:rsid w:val="FE3F8DB9"/>
    <w:rsid w:val="FE77F456"/>
    <w:rsid w:val="FECFFF92"/>
    <w:rsid w:val="FEF39F24"/>
    <w:rsid w:val="FF9FF837"/>
    <w:rsid w:val="FFAD37E5"/>
    <w:rsid w:val="FFBEC56A"/>
    <w:rsid w:val="FFC79609"/>
    <w:rsid w:val="FFD783A1"/>
    <w:rsid w:val="FFD83BD6"/>
    <w:rsid w:val="FFDB47DB"/>
    <w:rsid w:val="FFDDC2DC"/>
    <w:rsid w:val="FFDF4CDE"/>
    <w:rsid w:val="FFDFD5D3"/>
    <w:rsid w:val="FFE6752D"/>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rPr>
      <w:rFonts w:ascii="楷体_GB2312"/>
    </w:rPr>
  </w:style>
  <w:style w:type="paragraph" w:styleId="3">
    <w:name w:val="annotation text"/>
    <w:basedOn w:val="1"/>
    <w:link w:val="9"/>
    <w:qFormat/>
    <w:uiPriority w:val="0"/>
    <w:pPr>
      <w:jc w:val="left"/>
    </w:pPr>
    <w:rPr>
      <w:rFonts w:ascii="??" w:hAnsi="??" w:eastAsia="宋体" w:cs="??"/>
      <w:sz w:val="32"/>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7">
    <w:name w:val="Strong"/>
    <w:basedOn w:val="6"/>
    <w:qFormat/>
    <w:uiPriority w:val="0"/>
    <w:rPr>
      <w:b/>
    </w:rPr>
  </w:style>
  <w:style w:type="character" w:customStyle="1" w:styleId="9">
    <w:name w:val="批注文字 Char"/>
    <w:basedOn w:val="6"/>
    <w:link w:val="3"/>
    <w:qFormat/>
    <w:uiPriority w:val="0"/>
    <w:rPr>
      <w:rFonts w:ascii="??" w:hAnsi="??" w:eastAsia="宋体" w:cs="??"/>
      <w:sz w:val="32"/>
      <w:szCs w:val="21"/>
    </w:rPr>
  </w:style>
  <w:style w:type="character" w:customStyle="1" w:styleId="10">
    <w:name w:val="font21"/>
    <w:basedOn w:val="6"/>
    <w:qFormat/>
    <w:uiPriority w:val="0"/>
    <w:rPr>
      <w:rFonts w:hint="eastAsia" w:ascii="宋体" w:hAnsi="宋体" w:eastAsia="宋体" w:cs="宋体"/>
      <w:color w:val="000000"/>
      <w:sz w:val="20"/>
      <w:szCs w:val="20"/>
      <w:u w:val="none"/>
    </w:rPr>
  </w:style>
  <w:style w:type="character" w:customStyle="1" w:styleId="11">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2</TotalTime>
  <ScaleCrop>false</ScaleCrop>
  <LinksUpToDate>false</LinksUpToDate>
  <CharactersWithSpaces>2655</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2020-08-20T09:20:00Z</dcterms:created>
  <dc:creator>NTKO</dc:creator>
  <cp:lastModifiedBy>NTKO</cp:lastModifiedBy>
  <cp:lastPrinted>2025-02-02T14:35:00Z</cp:lastPrinted>
  <dcterms:modified xsi:type="dcterms:W3CDTF">2026-01-07T09:22:19Z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