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2025年</w:t>
      </w:r>
      <w:r>
        <w:rPr>
          <w:rFonts w:hint="eastAsia"/>
          <w:b/>
          <w:color w:val="0000FF"/>
          <w:sz w:val="36"/>
          <w:szCs w:val="36"/>
          <w:lang w:val="en" w:eastAsia="zh-CN"/>
        </w:rPr>
        <w:t>1-9月</w:t>
      </w:r>
      <w:r>
        <w:rPr>
          <w:rFonts w:hint="eastAsia"/>
          <w:b/>
          <w:color w:val="0000FF"/>
          <w:sz w:val="36"/>
          <w:szCs w:val="36"/>
          <w:lang w:eastAsia="zh-CN"/>
        </w:rPr>
        <w:t>密云区</w:t>
      </w:r>
      <w:r>
        <w:rPr>
          <w:rFonts w:hint="eastAsia"/>
          <w:b/>
          <w:color w:val="0000FF"/>
          <w:sz w:val="36"/>
          <w:szCs w:val="36"/>
        </w:rPr>
        <w:t>规模以上文化产业情况</w:t>
      </w:r>
    </w:p>
    <w:tbl>
      <w:tblPr>
        <w:tblStyle w:val="6"/>
        <w:tblpPr w:leftFromText="180" w:rightFromText="180" w:vertAnchor="text" w:horzAnchor="page" w:tblpX="2653" w:tblpY="620"/>
        <w:tblOverlap w:val="never"/>
        <w:tblW w:w="11860" w:type="dxa"/>
        <w:tblInd w:w="0" w:type="dxa"/>
        <w:tblLayout w:type="fixed"/>
        <w:tblCellMar>
          <w:top w:w="0" w:type="dxa"/>
          <w:left w:w="108" w:type="dxa"/>
          <w:bottom w:w="0" w:type="dxa"/>
          <w:right w:w="108" w:type="dxa"/>
        </w:tblCellMar>
      </w:tblPr>
      <w:tblGrid>
        <w:gridCol w:w="4868"/>
        <w:gridCol w:w="2544"/>
        <w:gridCol w:w="2264"/>
        <w:gridCol w:w="2184"/>
      </w:tblGrid>
      <w:tr>
        <w:tblPrEx>
          <w:tblCellMar>
            <w:top w:w="0" w:type="dxa"/>
            <w:left w:w="108" w:type="dxa"/>
            <w:bottom w:w="0" w:type="dxa"/>
            <w:right w:w="108" w:type="dxa"/>
          </w:tblCellMar>
        </w:tblPrEx>
        <w:trPr>
          <w:trHeight w:val="543" w:hRule="atLeast"/>
        </w:trPr>
        <w:tc>
          <w:tcPr>
            <w:tcW w:w="486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1440" w:firstLineChars="600"/>
              <w:outlineLvl w:val="9"/>
              <w:rPr>
                <w:rFonts w:ascii="宋体" w:hAnsi="宋体" w:cs="宋体"/>
                <w:kern w:val="0"/>
                <w:sz w:val="24"/>
              </w:rPr>
            </w:pPr>
            <w:r>
              <w:rPr>
                <w:rFonts w:hint="eastAsia" w:ascii="宋体" w:hAnsi="宋体" w:cs="宋体"/>
                <w:kern w:val="0"/>
                <w:sz w:val="24"/>
              </w:rPr>
              <w:t>项  目</w:t>
            </w:r>
          </w:p>
        </w:tc>
        <w:tc>
          <w:tcPr>
            <w:tcW w:w="25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eastAsia" w:ascii="宋体" w:hAnsi="宋体" w:cs="宋体"/>
                <w:kern w:val="0"/>
                <w:sz w:val="24"/>
                <w:lang w:eastAsia="zh-CN"/>
              </w:rPr>
              <w:t>2025年</w:t>
            </w:r>
            <w:r>
              <w:rPr>
                <w:rFonts w:hint="eastAsia" w:ascii="宋体" w:hAnsi="宋体" w:cs="宋体"/>
                <w:kern w:val="0"/>
                <w:sz w:val="24"/>
                <w:lang w:val="en" w:eastAsia="zh-CN"/>
              </w:rPr>
              <w:t>1-9月</w:t>
            </w:r>
          </w:p>
        </w:tc>
        <w:tc>
          <w:tcPr>
            <w:tcW w:w="226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eastAsia" w:ascii="宋体" w:hAnsi="宋体" w:cs="宋体"/>
                <w:kern w:val="0"/>
                <w:sz w:val="24"/>
                <w:lang w:eastAsia="zh-CN"/>
              </w:rPr>
              <w:t>2024年</w:t>
            </w:r>
            <w:r>
              <w:rPr>
                <w:rFonts w:hint="eastAsia" w:ascii="宋体" w:hAnsi="宋体" w:cs="宋体"/>
                <w:kern w:val="0"/>
                <w:sz w:val="24"/>
                <w:lang w:val="en" w:eastAsia="zh-CN"/>
              </w:rPr>
              <w:t>1-9月</w:t>
            </w:r>
          </w:p>
        </w:tc>
        <w:tc>
          <w:tcPr>
            <w:tcW w:w="218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同比增长（%）</w:t>
            </w:r>
          </w:p>
        </w:tc>
      </w:tr>
      <w:tr>
        <w:trPr>
          <w:trHeight w:val="607" w:hRule="atLeast"/>
        </w:trPr>
        <w:tc>
          <w:tcPr>
            <w:tcW w:w="48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outlineLvl w:val="9"/>
              <w:rPr>
                <w:rFonts w:ascii="宋体" w:hAnsi="宋体" w:cs="宋体"/>
                <w:kern w:val="0"/>
                <w:sz w:val="24"/>
              </w:rPr>
            </w:pPr>
            <w:r>
              <w:rPr>
                <w:rFonts w:hint="eastAsia" w:ascii="宋体" w:hAnsi="宋体" w:cs="宋体"/>
                <w:kern w:val="0"/>
                <w:sz w:val="24"/>
              </w:rPr>
              <w:t>收入合计（亿元）</w:t>
            </w:r>
          </w:p>
        </w:tc>
        <w:tc>
          <w:tcPr>
            <w:tcW w:w="2544" w:type="dxa"/>
            <w:tcBorders>
              <w:top w:val="nil"/>
              <w:left w:val="nil"/>
              <w:bottom w:val="nil"/>
              <w:right w:val="single" w:color="auto" w:sz="4" w:space="0"/>
            </w:tcBorders>
            <w:vAlign w:val="bottom"/>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cs="宋体"/>
                <w:sz w:val="24"/>
                <w:lang w:val="en-US" w:eastAsia="zh-CN"/>
              </w:rPr>
              <w:t>50.4</w:t>
            </w:r>
          </w:p>
        </w:tc>
        <w:tc>
          <w:tcPr>
            <w:tcW w:w="2264" w:type="dxa"/>
            <w:tcBorders>
              <w:top w:val="nil"/>
              <w:left w:val="nil"/>
              <w:bottom w:val="nil"/>
              <w:right w:val="single" w:color="auto" w:sz="4" w:space="0"/>
            </w:tcBorders>
            <w:vAlign w:val="bottom"/>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cs="宋体"/>
                <w:sz w:val="24"/>
                <w:lang w:val="en-US" w:eastAsia="zh-CN"/>
              </w:rPr>
              <w:t>54.3</w:t>
            </w:r>
          </w:p>
        </w:tc>
        <w:tc>
          <w:tcPr>
            <w:tcW w:w="2184" w:type="dxa"/>
            <w:tcBorders>
              <w:top w:val="nil"/>
              <w:left w:val="nil"/>
              <w:bottom w:val="nil"/>
              <w:right w:val="nil"/>
            </w:tcBorders>
            <w:vAlign w:val="bottom"/>
          </w:tcPr>
          <w:p>
            <w:pPr>
              <w:keepNext w:val="0"/>
              <w:keepLines w:val="0"/>
              <w:widowControl/>
              <w:suppressLineNumbers w:val="0"/>
              <w:jc w:val="right"/>
              <w:textAlignment w:val="bottom"/>
              <w:rPr>
                <w:rFonts w:hint="default" w:ascii="宋体" w:hAnsi="宋体" w:eastAsia="宋体" w:cs="宋体"/>
                <w:sz w:val="24"/>
                <w:lang w:val="en-US" w:eastAsia="zh-CN"/>
              </w:rPr>
            </w:pPr>
            <w:r>
              <w:rPr>
                <w:rFonts w:hint="eastAsia" w:ascii="宋体" w:hAnsi="宋体" w:cs="宋体"/>
                <w:sz w:val="24"/>
                <w:lang w:val="en-US" w:eastAsia="zh-CN"/>
              </w:rPr>
              <w:t>-7.2</w:t>
            </w:r>
            <w:bookmarkStart w:id="0" w:name="_GoBack"/>
            <w:bookmarkEnd w:id="0"/>
          </w:p>
        </w:tc>
      </w:tr>
      <w:tr>
        <w:tblPrEx>
          <w:tblCellMar>
            <w:top w:w="0" w:type="dxa"/>
            <w:left w:w="108" w:type="dxa"/>
            <w:bottom w:w="0" w:type="dxa"/>
            <w:right w:w="108" w:type="dxa"/>
          </w:tblCellMar>
        </w:tblPrEx>
        <w:trPr>
          <w:trHeight w:val="1859" w:hRule="atLeast"/>
        </w:trPr>
        <w:tc>
          <w:tcPr>
            <w:tcW w:w="11860" w:type="dxa"/>
            <w:gridSpan w:val="4"/>
            <w:tcBorders>
              <w:top w:val="single" w:color="auto" w:sz="8" w:space="0"/>
              <w:left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b/>
                <w:bCs/>
                <w:sz w:val="24"/>
              </w:rPr>
              <w:t>1、统计范围：</w:t>
            </w:r>
            <w:r>
              <w:rPr>
                <w:rFonts w:hint="eastAsia" w:ascii="楷体_GB2312" w:hAnsi="宋体" w:eastAsia="楷体_GB2312" w:cs="宋体"/>
                <w:kern w:val="2"/>
                <w:sz w:val="24"/>
                <w:szCs w:val="24"/>
                <w:lang w:val="en-US" w:eastAsia="zh-CN" w:bidi="ar-SA"/>
              </w:rPr>
              <w:t>本表数据统计范围为规模以上文化产业法人单位。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（1）年主营业务收入2000万元及以上的工业法人单位。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（2）年主营业务收入2000万元及以上的批发业法人单位。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（3）年主营业务收入500万元及以上的零售业法人单位。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（4）年营业收入2000万元及以上的交通运输、仓储和邮政业，信息传输、软件和信息技术服务业，水利、环境和公共设施管理业服务业企业法人单位。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（5）年营业收入1000万元及以上的租赁和商务服务业，科学研究和技术服务业，教育服务业企业法人单位。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（6）年营业收入500万元及以上的居民服务、修理和其他服务业，文化、体育和娱乐业服务业企业法人单位。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7）年收入合计1000万元及以上的交通运输、仓储和邮政业，信息传输、软件和信息技术服务业，租赁和商务服务业，科学研究和技术服务业，水利、环境和公共设施管理业，居民服务、修理和其他服务业，教育，文化、体育和娱乐业事业、民间非营利组织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b/>
                <w:bCs/>
                <w:sz w:val="24"/>
              </w:rPr>
              <w:t>2、</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sz w:val="24"/>
                <w:lang w:val="en-US" w:eastAsia="zh-CN"/>
              </w:rPr>
              <w:t>收入合计：指单位取得的各类收入，包括企业的营业收入和事业单位、民间非营利组织的收入合计。企业营业收入指企业生产经营活动形成的经济利益流入，包括主营业务收入和其他业务收入。事业单位收入包括财政拨款收入、事业收入、上级补助收入、经营收入、附属单位上缴收入和其他收入等。民间非营利组织收入指开展业务活动取得的、导致本期净资产增加的经济利益或者服务潜力的流入，按照其来源分为捐赠收入、会费收入、提供服务收入、商品销售收入、政府补助收入、投资收益和其他收入。</w:t>
            </w: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r>
              <w:rPr>
                <w:rFonts w:hint="eastAsia" w:ascii="楷体_GB2312" w:hAnsi="宋体" w:eastAsia="楷体_GB2312" w:cs="宋体"/>
                <w:b/>
                <w:sz w:val="24"/>
              </w:rPr>
              <w:t>3</w:t>
            </w:r>
            <w:r>
              <w:rPr>
                <w:rFonts w:hint="eastAsia" w:ascii="楷体_GB2312" w:hAnsi="宋体" w:eastAsia="楷体_GB2312" w:cs="宋体"/>
                <w:b/>
                <w:bCs/>
                <w:sz w:val="24"/>
              </w:rPr>
              <w:t>、</w:t>
            </w:r>
            <w:r>
              <w:rPr>
                <w:rFonts w:hint="eastAsia" w:ascii="楷体_GB2312" w:hAnsi="宋体" w:eastAsia="楷体_GB2312" w:cs="宋体"/>
                <w:b/>
                <w:bCs/>
                <w:sz w:val="24"/>
                <w:lang w:val="en-US" w:eastAsia="zh-CN"/>
              </w:rPr>
              <w:t>相关说明</w:t>
            </w:r>
            <w:r>
              <w:rPr>
                <w:rFonts w:hint="eastAsia" w:ascii="楷体_GB2312" w:hAnsi="宋体" w:eastAsia="楷体_GB2312" w:cs="宋体"/>
                <w:bCs/>
                <w:sz w:val="24"/>
                <w:szCs w:val="24"/>
              </w:rPr>
              <w:t>：</w:t>
            </w:r>
            <w:r>
              <w:rPr>
                <w:rFonts w:hint="eastAsia" w:ascii="楷体_GB2312" w:hAnsi="宋体" w:eastAsia="楷体_GB2312" w:cs="宋体"/>
                <w:kern w:val="0"/>
                <w:sz w:val="24"/>
                <w:szCs w:val="24"/>
                <w:lang w:val="en-US" w:eastAsia="zh-CN" w:bidi="ar-SA"/>
              </w:rPr>
              <w:t>本表中统计指标增速的计算口径为：报告期规模以上文化产业法人单位本期数据与其上年同期数据相比的增速。</w:t>
            </w:r>
          </w:p>
        </w:tc>
      </w:tr>
    </w:tbl>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default"/>
          <w:b/>
          <w:color w:val="0000FF"/>
          <w:sz w:val="36"/>
          <w:szCs w:val="36"/>
          <w:lang w:val="en" w:eastAsia="zh-CN"/>
        </w:rPr>
      </w:pPr>
    </w:p>
    <w:p>
      <w:pPr>
        <w:rPr>
          <w:rFonts w:hint="default"/>
          <w:b/>
          <w:color w:val="0000FF"/>
          <w:sz w:val="36"/>
          <w:szCs w:val="36"/>
          <w:lang w:val="en" w:eastAsia="zh-CN"/>
        </w:rPr>
      </w:pPr>
    </w:p>
    <w:p>
      <w:pPr>
        <w:pStyle w:val="2"/>
        <w:rPr>
          <w:rFonts w:hint="default"/>
          <w:b/>
          <w:color w:val="0000FF"/>
          <w:sz w:val="36"/>
          <w:szCs w:val="36"/>
          <w:lang w:val="en" w:eastAsia="zh-CN"/>
        </w:rPr>
      </w:pPr>
    </w:p>
    <w:p>
      <w:pPr>
        <w:rPr>
          <w:rFonts w:hint="default"/>
          <w:b/>
          <w:color w:val="0000FF"/>
          <w:sz w:val="36"/>
          <w:szCs w:val="36"/>
          <w:lang w:val="en" w:eastAsia="zh-CN"/>
        </w:rPr>
      </w:pPr>
    </w:p>
    <w:p>
      <w:pPr>
        <w:pStyle w:val="2"/>
        <w:rPr>
          <w:rFonts w:hint="default"/>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汉仪叶叶相思体简"/>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6DB2072"/>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FBF9E10"/>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CBA4F8"/>
    <w:rsid w:val="7FFF1899"/>
    <w:rsid w:val="81EB3C3A"/>
    <w:rsid w:val="8CDA845A"/>
    <w:rsid w:val="8ECFFD56"/>
    <w:rsid w:val="8FDD6C5D"/>
    <w:rsid w:val="95CB16DE"/>
    <w:rsid w:val="99B77EE0"/>
    <w:rsid w:val="9E7B6197"/>
    <w:rsid w:val="9FED37BA"/>
    <w:rsid w:val="A1F996D1"/>
    <w:rsid w:val="AB6F98F3"/>
    <w:rsid w:val="B7799B9E"/>
    <w:rsid w:val="B7FF7374"/>
    <w:rsid w:val="BB9F279F"/>
    <w:rsid w:val="BCB190C7"/>
    <w:rsid w:val="BD7F112E"/>
    <w:rsid w:val="BDF6F2E2"/>
    <w:rsid w:val="BF69E885"/>
    <w:rsid w:val="BFB650B6"/>
    <w:rsid w:val="C6FCE371"/>
    <w:rsid w:val="C7F7F066"/>
    <w:rsid w:val="CBFF8A60"/>
    <w:rsid w:val="CD3B0D55"/>
    <w:rsid w:val="CFFF4E9E"/>
    <w:rsid w:val="D57D44D0"/>
    <w:rsid w:val="D77C3604"/>
    <w:rsid w:val="D7EE2A06"/>
    <w:rsid w:val="DA77DE6A"/>
    <w:rsid w:val="DBB74874"/>
    <w:rsid w:val="DDF6AF67"/>
    <w:rsid w:val="DEFEA433"/>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F047853D"/>
    <w:rsid w:val="F2ECBDBB"/>
    <w:rsid w:val="F4C7C781"/>
    <w:rsid w:val="F5FF6C02"/>
    <w:rsid w:val="F69F3012"/>
    <w:rsid w:val="F6FE7D1F"/>
    <w:rsid w:val="F77E2CBB"/>
    <w:rsid w:val="F7AB5BD3"/>
    <w:rsid w:val="F7B564CC"/>
    <w:rsid w:val="F7BF082A"/>
    <w:rsid w:val="F7BFE11D"/>
    <w:rsid w:val="FAFF5057"/>
    <w:rsid w:val="FB7704E9"/>
    <w:rsid w:val="FBBD267F"/>
    <w:rsid w:val="FBBD6810"/>
    <w:rsid w:val="FBDF6E2B"/>
    <w:rsid w:val="FBF3580F"/>
    <w:rsid w:val="FBFF326E"/>
    <w:rsid w:val="FC9DE3DB"/>
    <w:rsid w:val="FD1EC79F"/>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uos</cp:lastModifiedBy>
  <cp:lastPrinted>2025-02-01T22:35:00Z</cp:lastPrinted>
  <dcterms:modified xsi:type="dcterms:W3CDTF">2025-11-07T08:31:36Z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