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FF"/>
          <w:sz w:val="36"/>
          <w:szCs w:val="36"/>
        </w:rPr>
      </w:pPr>
      <w:bookmarkStart w:id="0" w:name="_GoBack"/>
      <w:r>
        <w:rPr>
          <w:rFonts w:hint="default"/>
          <w:b/>
          <w:color w:val="0000FF"/>
          <w:sz w:val="36"/>
          <w:szCs w:val="36"/>
          <w:lang w:val="en" w:eastAsia="zh-CN"/>
        </w:rPr>
        <w:t>2025年1-3季</w:t>
      </w:r>
      <w:r>
        <w:rPr>
          <w:rFonts w:hint="eastAsia"/>
          <w:b/>
          <w:color w:val="0000FF"/>
          <w:sz w:val="36"/>
          <w:szCs w:val="36"/>
          <w:lang w:val="en" w:eastAsia="zh-CN"/>
        </w:rPr>
        <w:t>度密云区</w:t>
      </w:r>
      <w:r>
        <w:rPr>
          <w:rFonts w:hint="eastAsia"/>
          <w:b/>
          <w:color w:val="0000FF"/>
          <w:sz w:val="36"/>
          <w:szCs w:val="36"/>
        </w:rPr>
        <w:t>资质建筑业</w:t>
      </w:r>
      <w:r>
        <w:rPr>
          <w:rFonts w:hint="eastAsia"/>
          <w:b/>
          <w:color w:val="0000FF"/>
          <w:sz w:val="36"/>
          <w:szCs w:val="36"/>
          <w:lang w:eastAsia="zh-CN"/>
        </w:rPr>
        <w:t>生产</w:t>
      </w:r>
      <w:r>
        <w:rPr>
          <w:rFonts w:hint="eastAsia"/>
          <w:b/>
          <w:color w:val="0000FF"/>
          <w:sz w:val="36"/>
          <w:szCs w:val="36"/>
        </w:rPr>
        <w:t>情况</w:t>
      </w:r>
    </w:p>
    <w:bookmarkEnd w:id="0"/>
    <w:tbl>
      <w:tblPr>
        <w:tblStyle w:val="6"/>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
        <w:gridCol w:w="3560"/>
        <w:gridCol w:w="1536"/>
        <w:gridCol w:w="1680"/>
        <w:gridCol w:w="1560"/>
        <w:gridCol w:w="1692"/>
        <w:gridCol w:w="17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3592"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指 标 名 称</w:t>
            </w:r>
          </w:p>
        </w:tc>
        <w:tc>
          <w:tcPr>
            <w:tcW w:w="3216"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签订合同额</w:t>
            </w:r>
          </w:p>
        </w:tc>
        <w:tc>
          <w:tcPr>
            <w:tcW w:w="3252"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建筑业总产值</w:t>
            </w:r>
          </w:p>
        </w:tc>
        <w:tc>
          <w:tcPr>
            <w:tcW w:w="3208"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exact"/>
        </w:trPr>
        <w:tc>
          <w:tcPr>
            <w:tcW w:w="3592"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5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7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468"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single" w:color="auto" w:sz="2" w:space="0"/>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SA"/>
              </w:rPr>
              <w:t>全区合计</w:t>
            </w:r>
          </w:p>
        </w:tc>
        <w:tc>
          <w:tcPr>
            <w:tcW w:w="1536"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 xml:space="preserve">2292695 </w:t>
            </w:r>
          </w:p>
        </w:tc>
        <w:tc>
          <w:tcPr>
            <w:tcW w:w="168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 xml:space="preserve">-11.5 </w:t>
            </w:r>
          </w:p>
        </w:tc>
        <w:tc>
          <w:tcPr>
            <w:tcW w:w="156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 xml:space="preserve">851504 </w:t>
            </w:r>
          </w:p>
        </w:tc>
        <w:tc>
          <w:tcPr>
            <w:tcW w:w="1692"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 xml:space="preserve">-27.6 </w:t>
            </w:r>
          </w:p>
        </w:tc>
        <w:tc>
          <w:tcPr>
            <w:tcW w:w="174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 xml:space="preserve">579541 </w:t>
            </w:r>
          </w:p>
        </w:tc>
        <w:tc>
          <w:tcPr>
            <w:tcW w:w="1468" w:type="dxa"/>
            <w:tcBorders>
              <w:top w:val="single" w:color="auto" w:sz="2" w:space="0"/>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宋体" w:hAnsi="宋体" w:eastAsia="宋体" w:cs="宋体"/>
                <w:b/>
                <w:i w:val="0"/>
                <w:color w:val="000000"/>
                <w:kern w:val="0"/>
                <w:sz w:val="24"/>
                <w:szCs w:val="24"/>
                <w:u w:val="none"/>
                <w:lang w:val="en-US" w:eastAsia="zh-CN" w:bidi="ar"/>
              </w:rPr>
              <w:t xml:space="preserve">-23.1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按行业类别</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房屋建筑业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734300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-25.8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265688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-9.2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205196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土木工程建筑业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937845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-10.7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203831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-59.8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203270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建筑安装业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147568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4.8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49384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-11.1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2024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建筑装饰、装修和其他建筑业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472982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15.2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332602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169051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按资质等级</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施工总承包</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1681250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-15.3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450956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-13.9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414647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8" w:hRule="exact"/>
        </w:trPr>
        <w:tc>
          <w:tcPr>
            <w:tcW w:w="3592" w:type="dxa"/>
            <w:gridSpan w:val="2"/>
            <w:tcBorders>
              <w:top w:val="nil"/>
              <w:left w:val="nil"/>
              <w:bottom w:val="single" w:color="auto" w:sz="12" w:space="0"/>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专业承包</w:t>
            </w:r>
          </w:p>
        </w:tc>
        <w:tc>
          <w:tcPr>
            <w:tcW w:w="1536"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611446 </w:t>
            </w:r>
          </w:p>
        </w:tc>
        <w:tc>
          <w:tcPr>
            <w:tcW w:w="168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 </w:t>
            </w:r>
          </w:p>
        </w:tc>
        <w:tc>
          <w:tcPr>
            <w:tcW w:w="156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400549 </w:t>
            </w:r>
          </w:p>
        </w:tc>
        <w:tc>
          <w:tcPr>
            <w:tcW w:w="1692"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-38.6 </w:t>
            </w:r>
          </w:p>
        </w:tc>
        <w:tc>
          <w:tcPr>
            <w:tcW w:w="174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164894 </w:t>
            </w:r>
          </w:p>
        </w:tc>
        <w:tc>
          <w:tcPr>
            <w:tcW w:w="1468" w:type="dxa"/>
            <w:tcBorders>
              <w:top w:val="nil"/>
              <w:left w:val="single" w:color="auto" w:sz="2" w:space="0"/>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4"/>
              </w:rPr>
            </w:pPr>
            <w:r>
              <w:rPr>
                <w:rFonts w:hint="eastAsia" w:ascii="楷体_GB2312" w:hAnsi="宋体" w:eastAsia="楷体_GB2312" w:cs="宋体"/>
                <w:kern w:val="0"/>
                <w:sz w:val="24"/>
              </w:rPr>
              <w:t>注释：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4"/>
                <w:lang w:val="en-US" w:eastAsia="zh-CN"/>
              </w:rPr>
              <w:t>1、</w:t>
            </w:r>
            <w:r>
              <w:rPr>
                <w:rFonts w:hint="eastAsia" w:ascii="楷体_GB2312" w:hAnsi="宋体" w:eastAsia="楷体_GB2312" w:cs="宋体"/>
                <w:b/>
                <w:bCs/>
                <w:kern w:val="0"/>
                <w:sz w:val="24"/>
              </w:rPr>
              <w:t>统计范围：</w:t>
            </w:r>
            <w:r>
              <w:rPr>
                <w:rFonts w:hint="eastAsia" w:ascii="楷体_GB2312" w:hAnsi="宋体" w:eastAsia="楷体_GB2312" w:cs="宋体"/>
                <w:kern w:val="0"/>
                <w:sz w:val="24"/>
              </w:rPr>
              <w:t>统</w:t>
            </w:r>
            <w:r>
              <w:rPr>
                <w:rFonts w:hint="eastAsia" w:ascii="楷体_GB2312" w:hAnsi="宋体" w:eastAsia="楷体_GB2312" w:cs="宋体"/>
                <w:bCs/>
                <w:kern w:val="0"/>
                <w:sz w:val="24"/>
                <w:szCs w:val="24"/>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4"/>
                <w:szCs w:val="24"/>
                <w:lang w:val="en-US" w:eastAsia="zh-CN" w:bidi="ar-SA"/>
              </w:rPr>
              <w:br w:type="textWrapping"/>
            </w:r>
            <w:r>
              <w:rPr>
                <w:rFonts w:hint="eastAsia" w:ascii="楷体_GB2312" w:hAnsi="宋体" w:eastAsia="楷体_GB2312" w:cs="宋体"/>
                <w:b/>
                <w:bCs/>
                <w:kern w:val="0"/>
                <w:sz w:val="24"/>
              </w:rPr>
              <w:t>2、采集渠道：</w:t>
            </w:r>
            <w:r>
              <w:rPr>
                <w:rFonts w:hint="eastAsia" w:ascii="楷体_GB2312" w:hAnsi="宋体" w:eastAsia="楷体_GB2312" w:cs="宋体"/>
                <w:kern w:val="0"/>
                <w:sz w:val="24"/>
              </w:rPr>
              <w:t>纳入统计范围的建筑业企业按照《建筑业统计报表制度》要求，通过统计</w:t>
            </w:r>
            <w:r>
              <w:rPr>
                <w:rFonts w:hint="eastAsia" w:ascii="楷体_GB2312" w:hAnsi="宋体" w:eastAsia="楷体_GB2312" w:cs="宋体"/>
                <w:kern w:val="0"/>
                <w:sz w:val="24"/>
                <w:lang w:eastAsia="zh-CN"/>
              </w:rPr>
              <w:t>云联网直报系统</w:t>
            </w:r>
            <w:r>
              <w:rPr>
                <w:rFonts w:hint="eastAsia" w:ascii="楷体_GB2312" w:hAnsi="宋体" w:eastAsia="楷体_GB2312" w:cs="宋体"/>
                <w:kern w:val="0"/>
                <w:sz w:val="24"/>
              </w:rPr>
              <w:t>上报统计数据。</w:t>
            </w:r>
            <w:r>
              <w:rPr>
                <w:rFonts w:hint="eastAsia" w:ascii="楷体_GB2312" w:eastAsia="楷体_GB2312"/>
                <w:color w:val="000000"/>
                <w:sz w:val="24"/>
              </w:rPr>
              <w:t>经北京市统计局统一审核评估后对外发布</w:t>
            </w:r>
            <w:r>
              <w:rPr>
                <w:rFonts w:hint="eastAsia" w:ascii="楷体_GB2312" w:eastAsia="楷体_GB2312"/>
                <w:color w:val="000000"/>
                <w:sz w:val="24"/>
                <w:lang w:eastAsia="zh-CN"/>
              </w:rPr>
              <w:t>。</w:t>
            </w:r>
            <w:r>
              <w:rPr>
                <w:rFonts w:hint="eastAsia" w:ascii="楷体_GB2312" w:hAnsi="宋体" w:eastAsia="楷体_GB2312" w:cs="宋体"/>
                <w:kern w:val="0"/>
                <w:sz w:val="24"/>
              </w:rPr>
              <w:br w:type="textWrapping"/>
            </w:r>
            <w:r>
              <w:rPr>
                <w:rFonts w:hint="eastAsia" w:ascii="楷体_GB2312" w:hAnsi="宋体" w:eastAsia="楷体_GB2312" w:cs="宋体"/>
                <w:b/>
                <w:bCs/>
                <w:kern w:val="0"/>
                <w:sz w:val="24"/>
              </w:rPr>
              <w:t>3、主要统计指标解释：</w:t>
            </w:r>
            <w:r>
              <w:rPr>
                <w:rFonts w:hint="eastAsia" w:ascii="楷体_GB2312" w:hAnsi="宋体" w:eastAsia="楷体_GB2312" w:cs="宋体"/>
                <w:b w:val="0"/>
                <w:bCs/>
                <w:kern w:val="0"/>
                <w:sz w:val="24"/>
                <w:szCs w:val="24"/>
              </w:rPr>
              <w:t>签订合同额</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竣工产值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一般是以单位工程为对象，当该工程按照设计所规定的工程内容全部完成，达到了设计规定的交工条件，经有关部门检查验收鉴定合格的单位工程价值，即为竣工产值。</w:t>
            </w: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45EEF87"/>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zhk</cp:lastModifiedBy>
  <cp:lastPrinted>2025-02-01T22:35:00Z</cp:lastPrinted>
  <dcterms:modified xsi:type="dcterms:W3CDTF">2025-10-29T09:58:45Z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