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r>
        <w:rPr>
          <w:rFonts w:hint="eastAsia"/>
          <w:b/>
          <w:color w:val="0000FF"/>
          <w:sz w:val="36"/>
          <w:szCs w:val="36"/>
          <w:lang w:eastAsia="zh-CN"/>
        </w:rPr>
        <w:t>2025年</w:t>
      </w:r>
      <w:r>
        <w:rPr>
          <w:rFonts w:hint="default"/>
          <w:b/>
          <w:color w:val="0000FF"/>
          <w:sz w:val="36"/>
          <w:szCs w:val="36"/>
          <w:lang w:val="en" w:eastAsia="zh-CN"/>
        </w:rPr>
        <w:t>1-8月</w:t>
      </w:r>
      <w:r>
        <w:rPr>
          <w:rFonts w:hint="eastAsia"/>
          <w:b/>
          <w:color w:val="0000FF"/>
          <w:sz w:val="36"/>
          <w:szCs w:val="36"/>
          <w:lang w:eastAsia="zh-CN"/>
        </w:rPr>
        <w:t>密云区</w:t>
      </w:r>
      <w:r>
        <w:rPr>
          <w:rFonts w:hint="eastAsia"/>
          <w:b/>
          <w:color w:val="0000FF"/>
          <w:sz w:val="36"/>
          <w:szCs w:val="36"/>
        </w:rPr>
        <w:t>规模以上文化产业情况</w:t>
      </w:r>
    </w:p>
    <w:bookmarkEnd w:id="0"/>
    <w:tbl>
      <w:tblPr>
        <w:tblStyle w:val="6"/>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default" w:ascii="宋体" w:hAnsi="宋体" w:cs="宋体"/>
                <w:kern w:val="0"/>
                <w:sz w:val="24"/>
                <w:lang w:val="en"/>
              </w:rPr>
            </w:pPr>
            <w:r>
              <w:rPr>
                <w:rFonts w:hint="eastAsia" w:ascii="宋体" w:hAnsi="宋体" w:cs="宋体"/>
                <w:kern w:val="0"/>
                <w:sz w:val="24"/>
                <w:lang w:eastAsia="zh-CN"/>
              </w:rPr>
              <w:t>2025年</w:t>
            </w:r>
            <w:r>
              <w:rPr>
                <w:rFonts w:hint="default" w:ascii="宋体" w:hAnsi="宋体" w:cs="宋体"/>
                <w:kern w:val="0"/>
                <w:sz w:val="24"/>
                <w:lang w:val="en" w:eastAsia="zh-CN"/>
              </w:rPr>
              <w:t>1-8月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default" w:ascii="宋体" w:hAnsi="宋体" w:cs="宋体"/>
                <w:kern w:val="0"/>
                <w:sz w:val="24"/>
                <w:lang w:val="en"/>
              </w:rPr>
            </w:pPr>
            <w:r>
              <w:rPr>
                <w:rFonts w:hint="eastAsia" w:ascii="宋体" w:hAnsi="宋体" w:cs="宋体"/>
                <w:kern w:val="0"/>
                <w:sz w:val="24"/>
                <w:lang w:eastAsia="zh-CN"/>
              </w:rPr>
              <w:t>2024年</w:t>
            </w:r>
            <w:r>
              <w:rPr>
                <w:rFonts w:hint="default" w:ascii="宋体" w:hAnsi="宋体" w:cs="宋体"/>
                <w:kern w:val="0"/>
                <w:sz w:val="24"/>
                <w:lang w:val="en" w:eastAsia="zh-CN"/>
              </w:rPr>
              <w:t>1-8月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43.4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47.7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-9.0 </w:t>
            </w:r>
          </w:p>
        </w:tc>
      </w:tr>
      <w:tr>
        <w:trPr>
          <w:trHeight w:val="1859"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b/>
                <w:bCs/>
                <w:sz w:val="24"/>
              </w:rPr>
              <w:t>1、统计范围：</w:t>
            </w: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（1）年主营业务收入2000万元及以上的工业法人单位。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（2）年主营业务收入2000万元及以上的批发业法人单位。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（3）年主营业务收入500万元及以上的零售业法人单位。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（4）年营业收入2000万元及以上的交通运输、仓储和邮政业，信息传输、软件和信息技术服务业，水利、环境和公共设施管理业服务业企业法人单位。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（5）年营业收入1000万元及以上的租赁和商务服务业，科学研究和技术服务业，教育服务业企业法人单位。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（6）年营业收入500万元及以上的居民服务、修理和其他服务业，文化、体育和娱乐业服务业企业法人单位。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7）年收入合计1000万元及以上的交通运输、仓储和邮政业，信息传输、软件和信息技术服务业，租赁和商务服务业，科学研究和技术服务业，水利、环境和公共设施管理业，居民服务、修理和其他服务业，教育，文化、体育和娱乐业事业、民间非营利组织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2、</w:t>
            </w:r>
            <w:r>
              <w:rPr>
                <w:rFonts w:hint="eastAsia" w:ascii="楷体_GB2312" w:hAnsi="宋体" w:eastAsia="楷体_GB2312" w:cs="宋体"/>
                <w:b/>
                <w:bCs/>
                <w:sz w:val="24"/>
                <w:szCs w:val="24"/>
              </w:rPr>
              <w:t>主要统计指标解释</w:t>
            </w:r>
            <w:r>
              <w:rPr>
                <w:rFonts w:hint="eastAsia" w:ascii="楷体_GB2312" w:hAnsi="宋体" w:eastAsia="楷体_GB2312" w:cs="宋体"/>
                <w:bCs/>
                <w:sz w:val="24"/>
                <w:szCs w:val="24"/>
              </w:rPr>
              <w:t>：</w:t>
            </w:r>
            <w:r>
              <w:rPr>
                <w:rFonts w:hint="eastAsia" w:ascii="楷体_GB2312" w:hAnsi="宋体" w:eastAsia="楷体_GB2312" w:cs="宋体"/>
                <w:sz w:val="24"/>
                <w:lang w:val="en-US" w:eastAsia="zh-CN"/>
              </w:rPr>
              <w:t>收入合计：指单位取得的各类收入，包括企业的营业收入和事业单位、民间非营利组织的收入合计。企业营业收入指企业生产经营活动形成的经济利益流入，包括主营业务收入和其他业务收入。事业单位收入包括财政拨款收入、事业收入、上级补助收入、经营收入、附属单位上缴收入和其他收入等。民间非营利组织收入指开展业务活动取得的、导致本期净资产增加的经济利益或者服务潜力的流入，按照其来源分为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r>
              <w:rPr>
                <w:rFonts w:hint="eastAsia" w:ascii="楷体_GB2312" w:hAnsi="宋体" w:eastAsia="楷体_GB2312" w:cs="宋体"/>
                <w:b/>
                <w:sz w:val="24"/>
              </w:rPr>
              <w:t>3</w:t>
            </w:r>
            <w:r>
              <w:rPr>
                <w:rFonts w:hint="eastAsia" w:ascii="楷体_GB2312" w:hAnsi="宋体" w:eastAsia="楷体_GB2312" w:cs="宋体"/>
                <w:b/>
                <w:bCs/>
                <w:sz w:val="24"/>
              </w:rPr>
              <w:t>、</w:t>
            </w:r>
            <w:r>
              <w:rPr>
                <w:rFonts w:hint="eastAsia" w:ascii="楷体_GB2312" w:hAnsi="宋体" w:eastAsia="楷体_GB2312" w:cs="宋体"/>
                <w:b/>
                <w:bCs/>
                <w:sz w:val="24"/>
                <w:lang w:val="en-US" w:eastAsia="zh-CN"/>
              </w:rPr>
              <w:t>相关说明</w:t>
            </w:r>
            <w:r>
              <w:rPr>
                <w:rFonts w:hint="eastAsia" w:ascii="楷体_GB2312" w:hAnsi="宋体" w:eastAsia="楷体_GB2312" w:cs="宋体"/>
                <w:bCs/>
                <w:sz w:val="24"/>
                <w:szCs w:val="24"/>
              </w:rPr>
              <w:t>：</w:t>
            </w: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tc>
      </w:tr>
    </w:tbl>
    <w:p>
      <w:pPr>
        <w:rPr>
          <w:rFonts w:hint="eastAsia"/>
          <w:lang w:eastAsia="zh-CN"/>
        </w:rPr>
      </w:pPr>
    </w:p>
    <w:p>
      <w:pPr>
        <w:pStyle w:val="2"/>
        <w:keepNext w:val="0"/>
        <w:keepLines w:val="0"/>
        <w:pageBreakBefore w:val="0"/>
        <w:kinsoku/>
        <w:wordWrap/>
        <w:overflowPunct/>
        <w:topLinePunct w:val="0"/>
        <w:autoSpaceDE/>
        <w:autoSpaceDN/>
        <w:bidi w:val="0"/>
        <w:adjustRightInd w:val="0"/>
        <w:snapToGrid w:val="0"/>
        <w:outlineLvl w:val="9"/>
        <w:rPr>
          <w:rFonts w:hint="eastAsia"/>
          <w:lang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6E543A2"/>
    <w:rsid w:val="172B5C42"/>
    <w:rsid w:val="176149FE"/>
    <w:rsid w:val="18EB70C8"/>
    <w:rsid w:val="19715261"/>
    <w:rsid w:val="1A21665C"/>
    <w:rsid w:val="1AD30A1E"/>
    <w:rsid w:val="1AD8402B"/>
    <w:rsid w:val="1B0B13DC"/>
    <w:rsid w:val="1B122FB6"/>
    <w:rsid w:val="1BCD0481"/>
    <w:rsid w:val="1C0E5505"/>
    <w:rsid w:val="1C276350"/>
    <w:rsid w:val="1C56369B"/>
    <w:rsid w:val="1CD46D9A"/>
    <w:rsid w:val="1D8D5B77"/>
    <w:rsid w:val="1D98136E"/>
    <w:rsid w:val="1DFB1785"/>
    <w:rsid w:val="1EAF4D11"/>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430EDC"/>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1F72A14"/>
    <w:rsid w:val="526977BB"/>
    <w:rsid w:val="52FB1BC2"/>
    <w:rsid w:val="53EF48C2"/>
    <w:rsid w:val="53F57A86"/>
    <w:rsid w:val="53FF0D7E"/>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D12EA"/>
    <w:rsid w:val="5D4E0726"/>
    <w:rsid w:val="5D8F6061"/>
    <w:rsid w:val="5FBF9E10"/>
    <w:rsid w:val="5FC37593"/>
    <w:rsid w:val="5FDF0B1C"/>
    <w:rsid w:val="5FF5D2E3"/>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BC6B22F"/>
    <w:rsid w:val="6C02332D"/>
    <w:rsid w:val="6C0F7A99"/>
    <w:rsid w:val="6C257DC9"/>
    <w:rsid w:val="6C4B421F"/>
    <w:rsid w:val="6D5A4B7F"/>
    <w:rsid w:val="6EA39D6C"/>
    <w:rsid w:val="6EDF9B84"/>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7CBC52"/>
    <w:rsid w:val="778962BC"/>
    <w:rsid w:val="779A77AC"/>
    <w:rsid w:val="77BFA74A"/>
    <w:rsid w:val="77E9D9C2"/>
    <w:rsid w:val="77F30C7B"/>
    <w:rsid w:val="77F6310B"/>
    <w:rsid w:val="78B553DE"/>
    <w:rsid w:val="78E85C94"/>
    <w:rsid w:val="791B108A"/>
    <w:rsid w:val="797D4315"/>
    <w:rsid w:val="7A100E94"/>
    <w:rsid w:val="7AC2683B"/>
    <w:rsid w:val="7B423B59"/>
    <w:rsid w:val="7B6FE944"/>
    <w:rsid w:val="7B7E1AC0"/>
    <w:rsid w:val="7BA3EC91"/>
    <w:rsid w:val="7BE787CF"/>
    <w:rsid w:val="7C58388D"/>
    <w:rsid w:val="7C7A5981"/>
    <w:rsid w:val="7CF5D5DB"/>
    <w:rsid w:val="7D7EC8CD"/>
    <w:rsid w:val="7DF74232"/>
    <w:rsid w:val="7E282AF5"/>
    <w:rsid w:val="7E3D82B6"/>
    <w:rsid w:val="7E7F0693"/>
    <w:rsid w:val="7EBE223A"/>
    <w:rsid w:val="7ED92472"/>
    <w:rsid w:val="7ED99CC2"/>
    <w:rsid w:val="7F1879BC"/>
    <w:rsid w:val="7F2EC66B"/>
    <w:rsid w:val="7F3A5975"/>
    <w:rsid w:val="7F570677"/>
    <w:rsid w:val="7F5E5D34"/>
    <w:rsid w:val="7FFF1899"/>
    <w:rsid w:val="81EB3C3A"/>
    <w:rsid w:val="8CDA845A"/>
    <w:rsid w:val="8FDD6C5D"/>
    <w:rsid w:val="95CB16DE"/>
    <w:rsid w:val="97BE158D"/>
    <w:rsid w:val="99B77EE0"/>
    <w:rsid w:val="9E7B6197"/>
    <w:rsid w:val="9FED37BA"/>
    <w:rsid w:val="A1F996D1"/>
    <w:rsid w:val="AB6F98F3"/>
    <w:rsid w:val="ADDB6C80"/>
    <w:rsid w:val="AFBF2A6E"/>
    <w:rsid w:val="B7799B9E"/>
    <w:rsid w:val="B7FF7374"/>
    <w:rsid w:val="BA772783"/>
    <w:rsid w:val="BB9F279F"/>
    <w:rsid w:val="BCB190C7"/>
    <w:rsid w:val="BDF6F2E2"/>
    <w:rsid w:val="BF69E885"/>
    <w:rsid w:val="BFB650B6"/>
    <w:rsid w:val="C6FCE371"/>
    <w:rsid w:val="C7F7F066"/>
    <w:rsid w:val="CD3B0D55"/>
    <w:rsid w:val="D57D44D0"/>
    <w:rsid w:val="D7EE2A06"/>
    <w:rsid w:val="DA77DE6A"/>
    <w:rsid w:val="DBB74874"/>
    <w:rsid w:val="DDF6AF67"/>
    <w:rsid w:val="DF7B08CA"/>
    <w:rsid w:val="DF7BDF92"/>
    <w:rsid w:val="DF8DE048"/>
    <w:rsid w:val="DFAB23FE"/>
    <w:rsid w:val="DFB724C3"/>
    <w:rsid w:val="DFBFE4DB"/>
    <w:rsid w:val="DFFCAA03"/>
    <w:rsid w:val="E76E574F"/>
    <w:rsid w:val="E7AFC432"/>
    <w:rsid w:val="E7DD7C91"/>
    <w:rsid w:val="E7F7B4E4"/>
    <w:rsid w:val="E7FDA2F2"/>
    <w:rsid w:val="EA6790F0"/>
    <w:rsid w:val="EBEF1CA0"/>
    <w:rsid w:val="EBF5BF5A"/>
    <w:rsid w:val="EDFE27A9"/>
    <w:rsid w:val="EEFF3E89"/>
    <w:rsid w:val="EF7D1EF3"/>
    <w:rsid w:val="EF7D7BB4"/>
    <w:rsid w:val="EF99AF02"/>
    <w:rsid w:val="F047853D"/>
    <w:rsid w:val="F2ECBDBB"/>
    <w:rsid w:val="F4C7C781"/>
    <w:rsid w:val="F5FF6C02"/>
    <w:rsid w:val="F69F3012"/>
    <w:rsid w:val="F6FE7D1F"/>
    <w:rsid w:val="F77E2CBB"/>
    <w:rsid w:val="F7AB5BD3"/>
    <w:rsid w:val="F7B564CC"/>
    <w:rsid w:val="F7BFE11D"/>
    <w:rsid w:val="FAFF5057"/>
    <w:rsid w:val="FB5FEA50"/>
    <w:rsid w:val="FBDF6E2B"/>
    <w:rsid w:val="FBFF326E"/>
    <w:rsid w:val="FD661357"/>
    <w:rsid w:val="FDF3622D"/>
    <w:rsid w:val="FDF7DFC4"/>
    <w:rsid w:val="FE1BD8BF"/>
    <w:rsid w:val="FE378603"/>
    <w:rsid w:val="FE3F8DB9"/>
    <w:rsid w:val="FE77F456"/>
    <w:rsid w:val="FECFFF92"/>
    <w:rsid w:val="FEF39F24"/>
    <w:rsid w:val="FF9FF837"/>
    <w:rsid w:val="FFAD37E5"/>
    <w:rsid w:val="FFAFF928"/>
    <w:rsid w:val="FFB77E76"/>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2020-08-21T09:20:00Z</dcterms:created>
  <dc:creator>NTKO</dc:creator>
  <cp:lastModifiedBy>zhk</cp:lastModifiedBy>
  <cp:lastPrinted>2025-09-09T17:16:00Z</cp:lastPrinted>
  <dcterms:modified xsi:type="dcterms:W3CDTF">2025-10-14T09:28:11Z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