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  <w:r>
        <w:rPr>
          <w:rFonts w:hint="eastAsia"/>
          <w:b/>
          <w:color w:val="0000FF"/>
          <w:sz w:val="36"/>
          <w:szCs w:val="36"/>
          <w:lang w:eastAsia="zh-CN"/>
        </w:rPr>
        <w:t>2025年1-3月密云区</w:t>
      </w:r>
      <w:bookmarkStart w:id="0" w:name="_GoBack"/>
      <w:bookmarkEnd w:id="0"/>
      <w:r>
        <w:rPr>
          <w:rFonts w:hint="eastAsia"/>
          <w:b/>
          <w:color w:val="0000FF"/>
          <w:sz w:val="36"/>
          <w:szCs w:val="36"/>
        </w:rPr>
        <w:t>规模以上第三产业法人单位主要经济指标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tbl>
      <w:tblPr>
        <w:tblStyle w:val="6"/>
        <w:tblW w:w="11840" w:type="dxa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0"/>
        <w:gridCol w:w="2540"/>
        <w:gridCol w:w="2260"/>
        <w:gridCol w:w="2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440" w:firstLineChars="600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 目</w:t>
            </w:r>
          </w:p>
        </w:tc>
        <w:tc>
          <w:tcPr>
            <w:tcW w:w="25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2025年1-3月</w:t>
            </w:r>
          </w:p>
        </w:tc>
        <w:tc>
          <w:tcPr>
            <w:tcW w:w="22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2024年1-3月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同比增长（%）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收入合计（亿元）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220.6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292.4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-24.5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40" w:type="dxa"/>
            <w:gridSpan w:val="4"/>
            <w:tcBorders>
              <w:top w:val="single" w:color="auto" w:sz="8" w:space="0"/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outlineLvl w:val="9"/>
              <w:rPr>
                <w:rFonts w:hint="eastAsia" w:ascii="楷体_GB2312" w:hAnsi="宋体" w:eastAsia="楷体_GB2312" w:cs="宋体"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sz w:val="24"/>
              </w:rPr>
              <w:t>注释：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1、统计范围：</w:t>
            </w:r>
            <w:r>
              <w:rPr>
                <w:rFonts w:hint="eastAsia" w:ascii="楷体_GB2312" w:hAnsi="宋体" w:eastAsia="楷体_GB2312" w:cs="宋体"/>
                <w:sz w:val="24"/>
              </w:rPr>
              <w:t>年主营业务收入2000万元及以上的批发业企业，年主营业务收入500万元及以上的零售业企业；年主营业务收入200万元及以上的住宿业和餐饮业企业；年营业收入2000万元及以上的交通运输、仓储和邮政业，信息传输、软件和信息技术服务业，水利、环境和公共设施管理业，卫生行业服务业企业法人单位；年营业收入1000万元及以上的租赁和商务服务业，科学研究和技术服务业，教育，以及物业管理、房地产中介服务、房地产租赁经营和其他房地产业服务业企业法人单位；年营业收入500万元及以上的居民服务、修理和其他服务业，文化、体育和娱乐业，社会工作行业服务业企业法人单位；年收入合计1000万元及以上的交通运输、仓储和邮政业，信息传输、软件和信息技术服务业，租赁和商务服务业，科学研究和技术服务业，水利、环境和公共设施管理业，居民服务、修理和其他服务业，教育，文化、体育和娱乐业，以及社会工作、物业管理、房地产中介服务、房地产租赁经营和其他房地产业事业、民间非营利组织服务业法人单位；年收入合计2000万元及以上的卫生行业事业、民间非营利组织服务业法人单位；重点房地产开发经营法人单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2、采集渠道：</w:t>
            </w:r>
            <w:r>
              <w:rPr>
                <w:rFonts w:hint="eastAsia" w:ascii="楷体_GB2312" w:hAnsi="宋体" w:eastAsia="楷体_GB2312" w:cs="宋体"/>
                <w:sz w:val="24"/>
              </w:rPr>
              <w:t xml:space="preserve">所有符合统计范围的单位按照《批发和零售业统计报表制度》、《住宿和餐饮业统计报表制度》、《金融业统计报表制度》、《房地产业统计报表制度》、《服务业统计报表制度》的要求通过统计数据集中采集平台上报统计数据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sz w:val="24"/>
              </w:rPr>
              <w:t>3</w:t>
            </w: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、主要统计指标解释：收入合计</w:t>
            </w:r>
            <w:r>
              <w:rPr>
                <w:rFonts w:hint="eastAsia" w:ascii="楷体_GB2312" w:hAnsi="宋体" w:eastAsia="楷体_GB2312" w:cs="宋体"/>
                <w:bCs/>
                <w:sz w:val="24"/>
              </w:rPr>
              <w:t>指单位取得的各类收入，包括企业的营业收入和事业单位、民间非营利组织的收入合计。企业营业收入指企业从事销售商品、提供劳务和让渡资产使用权等生产经营活动形成的经济利益流入，包括“主营业务收入”和“其他业务收入”。事业单位收入包括财政拨款收入、事业收入、上级补助收入、经营收入、附属单位上缴收入和其他收入等。民间非营利组织收入指开展业务活动取得的、导致本期净资产增加的经济利益或者服务潜力的流入，按照其来源分为捐赠收入、会费收入、提供服务收入、商品销售收入、政府补助收入、投资收益和其他收入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outlineLvl w:val="9"/>
        <w:rPr>
          <w:rFonts w:hint="eastAsia"/>
          <w:lang w:val="en-US" w:eastAsia="zh-CN"/>
        </w:rPr>
      </w:pPr>
    </w:p>
    <w:sectPr>
      <w:headerReference r:id="rId3" w:type="default"/>
      <w:pgSz w:w="16838" w:h="11906" w:orient="landscape"/>
      <w:pgMar w:top="1383" w:right="1800" w:bottom="115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5EF1"/>
    <w:rsid w:val="01DE4569"/>
    <w:rsid w:val="01EA0DDF"/>
    <w:rsid w:val="021113C5"/>
    <w:rsid w:val="02383BF7"/>
    <w:rsid w:val="04B3291D"/>
    <w:rsid w:val="05144DE3"/>
    <w:rsid w:val="056063CD"/>
    <w:rsid w:val="0638629E"/>
    <w:rsid w:val="065A435E"/>
    <w:rsid w:val="0693162F"/>
    <w:rsid w:val="06BD48AA"/>
    <w:rsid w:val="08FE4A5D"/>
    <w:rsid w:val="09350139"/>
    <w:rsid w:val="0979482C"/>
    <w:rsid w:val="09B712A8"/>
    <w:rsid w:val="0AC36A44"/>
    <w:rsid w:val="0B55531A"/>
    <w:rsid w:val="0B7B2A58"/>
    <w:rsid w:val="0BD8075B"/>
    <w:rsid w:val="0BFA39C5"/>
    <w:rsid w:val="0C683C8D"/>
    <w:rsid w:val="0CA36702"/>
    <w:rsid w:val="0E4220D5"/>
    <w:rsid w:val="0E927B34"/>
    <w:rsid w:val="0EDD0097"/>
    <w:rsid w:val="103E310E"/>
    <w:rsid w:val="118634F1"/>
    <w:rsid w:val="12917D5A"/>
    <w:rsid w:val="13BA65BA"/>
    <w:rsid w:val="13C96186"/>
    <w:rsid w:val="13DB96C9"/>
    <w:rsid w:val="141623DE"/>
    <w:rsid w:val="163459DA"/>
    <w:rsid w:val="169355EC"/>
    <w:rsid w:val="172B5C42"/>
    <w:rsid w:val="176149FE"/>
    <w:rsid w:val="19715261"/>
    <w:rsid w:val="1A21665C"/>
    <w:rsid w:val="1AD30A1E"/>
    <w:rsid w:val="1AD8402B"/>
    <w:rsid w:val="1B0B13DC"/>
    <w:rsid w:val="1B122FB6"/>
    <w:rsid w:val="1BCD0481"/>
    <w:rsid w:val="1C0E5505"/>
    <w:rsid w:val="1C276350"/>
    <w:rsid w:val="1C56369B"/>
    <w:rsid w:val="1CD46D9A"/>
    <w:rsid w:val="1D8D5B77"/>
    <w:rsid w:val="1D98136E"/>
    <w:rsid w:val="1DFB1785"/>
    <w:rsid w:val="1EB84662"/>
    <w:rsid w:val="1FFF4CB5"/>
    <w:rsid w:val="21382369"/>
    <w:rsid w:val="21784A05"/>
    <w:rsid w:val="22DB4243"/>
    <w:rsid w:val="23543D99"/>
    <w:rsid w:val="236F1C12"/>
    <w:rsid w:val="248C2EED"/>
    <w:rsid w:val="256C6363"/>
    <w:rsid w:val="25A15611"/>
    <w:rsid w:val="25E84811"/>
    <w:rsid w:val="26A37460"/>
    <w:rsid w:val="27174A9F"/>
    <w:rsid w:val="285E57AA"/>
    <w:rsid w:val="28DD1ED1"/>
    <w:rsid w:val="29303B10"/>
    <w:rsid w:val="29763C32"/>
    <w:rsid w:val="29AD74D8"/>
    <w:rsid w:val="29FB5780"/>
    <w:rsid w:val="2A94053E"/>
    <w:rsid w:val="2BEF4705"/>
    <w:rsid w:val="2C644628"/>
    <w:rsid w:val="2C6C1E73"/>
    <w:rsid w:val="2D076D14"/>
    <w:rsid w:val="2E29008C"/>
    <w:rsid w:val="2E2B4EE6"/>
    <w:rsid w:val="2E6C7B7D"/>
    <w:rsid w:val="2EC71D67"/>
    <w:rsid w:val="2EFD0F86"/>
    <w:rsid w:val="2F457D92"/>
    <w:rsid w:val="2F5B14A5"/>
    <w:rsid w:val="2F8D73F0"/>
    <w:rsid w:val="2FBDC9F1"/>
    <w:rsid w:val="315F1FAD"/>
    <w:rsid w:val="31767B07"/>
    <w:rsid w:val="32326294"/>
    <w:rsid w:val="32812E6E"/>
    <w:rsid w:val="32A7716C"/>
    <w:rsid w:val="33661F81"/>
    <w:rsid w:val="338177D2"/>
    <w:rsid w:val="33EA3D20"/>
    <w:rsid w:val="349C766D"/>
    <w:rsid w:val="34C40933"/>
    <w:rsid w:val="352C3131"/>
    <w:rsid w:val="36381881"/>
    <w:rsid w:val="364D3747"/>
    <w:rsid w:val="368A245A"/>
    <w:rsid w:val="36B82B10"/>
    <w:rsid w:val="36BE5A08"/>
    <w:rsid w:val="38AC4A90"/>
    <w:rsid w:val="392A6086"/>
    <w:rsid w:val="393A7BCB"/>
    <w:rsid w:val="39C8393A"/>
    <w:rsid w:val="3ACA405B"/>
    <w:rsid w:val="3AEE30EC"/>
    <w:rsid w:val="3B4C203F"/>
    <w:rsid w:val="3B505972"/>
    <w:rsid w:val="3C094926"/>
    <w:rsid w:val="3CA06950"/>
    <w:rsid w:val="3CD34D5E"/>
    <w:rsid w:val="3DF66AB0"/>
    <w:rsid w:val="3E5544D7"/>
    <w:rsid w:val="3ED06649"/>
    <w:rsid w:val="3EFB9B05"/>
    <w:rsid w:val="3FA684FA"/>
    <w:rsid w:val="3FAB96BE"/>
    <w:rsid w:val="3FDB5DF1"/>
    <w:rsid w:val="3FDED793"/>
    <w:rsid w:val="3FDF4110"/>
    <w:rsid w:val="3FF311AD"/>
    <w:rsid w:val="3FFE10C8"/>
    <w:rsid w:val="401D61C0"/>
    <w:rsid w:val="414B607C"/>
    <w:rsid w:val="41A3549E"/>
    <w:rsid w:val="426042E3"/>
    <w:rsid w:val="42D90AF2"/>
    <w:rsid w:val="440C601A"/>
    <w:rsid w:val="441A04D4"/>
    <w:rsid w:val="46216826"/>
    <w:rsid w:val="46FF42F7"/>
    <w:rsid w:val="475234D8"/>
    <w:rsid w:val="476A13E8"/>
    <w:rsid w:val="47790412"/>
    <w:rsid w:val="47A86E6D"/>
    <w:rsid w:val="47E027CA"/>
    <w:rsid w:val="47FEAB4D"/>
    <w:rsid w:val="489B5BDB"/>
    <w:rsid w:val="4937785D"/>
    <w:rsid w:val="4AE90A8D"/>
    <w:rsid w:val="4B3D5C27"/>
    <w:rsid w:val="4B4551F2"/>
    <w:rsid w:val="4C2220D4"/>
    <w:rsid w:val="4C6D69D1"/>
    <w:rsid w:val="4CEB2530"/>
    <w:rsid w:val="4D1BC49A"/>
    <w:rsid w:val="4D8016E5"/>
    <w:rsid w:val="4D863A49"/>
    <w:rsid w:val="4D9327C0"/>
    <w:rsid w:val="4DC718E7"/>
    <w:rsid w:val="4DD01001"/>
    <w:rsid w:val="4E665BA6"/>
    <w:rsid w:val="4F024081"/>
    <w:rsid w:val="4F560168"/>
    <w:rsid w:val="4F5746E4"/>
    <w:rsid w:val="4F6D24BE"/>
    <w:rsid w:val="4FF703F7"/>
    <w:rsid w:val="50D8657E"/>
    <w:rsid w:val="51512E17"/>
    <w:rsid w:val="526977BB"/>
    <w:rsid w:val="52FB1BC2"/>
    <w:rsid w:val="53EF48C2"/>
    <w:rsid w:val="53F57A86"/>
    <w:rsid w:val="54895C40"/>
    <w:rsid w:val="54F42AFF"/>
    <w:rsid w:val="55600A1D"/>
    <w:rsid w:val="5567A25D"/>
    <w:rsid w:val="55B05FB6"/>
    <w:rsid w:val="560D74DF"/>
    <w:rsid w:val="567412A4"/>
    <w:rsid w:val="568A0C6F"/>
    <w:rsid w:val="56BB328C"/>
    <w:rsid w:val="57370DD3"/>
    <w:rsid w:val="57605D7D"/>
    <w:rsid w:val="57B35CE2"/>
    <w:rsid w:val="58913AC3"/>
    <w:rsid w:val="58E67C05"/>
    <w:rsid w:val="590F83E0"/>
    <w:rsid w:val="59375F5C"/>
    <w:rsid w:val="59630F03"/>
    <w:rsid w:val="597F8F05"/>
    <w:rsid w:val="5A055849"/>
    <w:rsid w:val="5A271408"/>
    <w:rsid w:val="5B73140F"/>
    <w:rsid w:val="5C9300D0"/>
    <w:rsid w:val="5CB32703"/>
    <w:rsid w:val="5CD35BE5"/>
    <w:rsid w:val="5D0004C6"/>
    <w:rsid w:val="5D4E0726"/>
    <w:rsid w:val="5D8F6061"/>
    <w:rsid w:val="5FBF9E10"/>
    <w:rsid w:val="5FC37593"/>
    <w:rsid w:val="5FDF0B1C"/>
    <w:rsid w:val="60FA610A"/>
    <w:rsid w:val="613D007B"/>
    <w:rsid w:val="61C65AFE"/>
    <w:rsid w:val="62578C3C"/>
    <w:rsid w:val="62612361"/>
    <w:rsid w:val="639114E6"/>
    <w:rsid w:val="65797765"/>
    <w:rsid w:val="663F737A"/>
    <w:rsid w:val="675F8F65"/>
    <w:rsid w:val="67927ED5"/>
    <w:rsid w:val="67CB7260"/>
    <w:rsid w:val="67FD4902"/>
    <w:rsid w:val="687C1C1C"/>
    <w:rsid w:val="699E7C2F"/>
    <w:rsid w:val="69BE7033"/>
    <w:rsid w:val="69F16919"/>
    <w:rsid w:val="6A294847"/>
    <w:rsid w:val="6A65276C"/>
    <w:rsid w:val="6AC47901"/>
    <w:rsid w:val="6AFF3DA2"/>
    <w:rsid w:val="6B320384"/>
    <w:rsid w:val="6C02332D"/>
    <w:rsid w:val="6C0F7A99"/>
    <w:rsid w:val="6C257DC9"/>
    <w:rsid w:val="6C4B421F"/>
    <w:rsid w:val="6D5A4B7F"/>
    <w:rsid w:val="6EA39D6C"/>
    <w:rsid w:val="6EDF9B84"/>
    <w:rsid w:val="6F9D743A"/>
    <w:rsid w:val="6FBF1FE6"/>
    <w:rsid w:val="6FC7354D"/>
    <w:rsid w:val="6FFEDE62"/>
    <w:rsid w:val="6FFF682D"/>
    <w:rsid w:val="6FFFDF34"/>
    <w:rsid w:val="71080D89"/>
    <w:rsid w:val="7175080B"/>
    <w:rsid w:val="7186F4B4"/>
    <w:rsid w:val="726A1098"/>
    <w:rsid w:val="737B2704"/>
    <w:rsid w:val="73A6F0C8"/>
    <w:rsid w:val="73CC0211"/>
    <w:rsid w:val="73EFABBB"/>
    <w:rsid w:val="741F23A4"/>
    <w:rsid w:val="74501C96"/>
    <w:rsid w:val="757EAA3D"/>
    <w:rsid w:val="75DFCC41"/>
    <w:rsid w:val="75E61BEE"/>
    <w:rsid w:val="75EE766E"/>
    <w:rsid w:val="75F745C8"/>
    <w:rsid w:val="7607511D"/>
    <w:rsid w:val="765833C3"/>
    <w:rsid w:val="77166765"/>
    <w:rsid w:val="7720627A"/>
    <w:rsid w:val="778962BC"/>
    <w:rsid w:val="779A77AC"/>
    <w:rsid w:val="77E9D9C2"/>
    <w:rsid w:val="77F30C7B"/>
    <w:rsid w:val="77F6310B"/>
    <w:rsid w:val="78B553DE"/>
    <w:rsid w:val="78E85C94"/>
    <w:rsid w:val="791B108A"/>
    <w:rsid w:val="797D4315"/>
    <w:rsid w:val="7A100E94"/>
    <w:rsid w:val="7AC2683B"/>
    <w:rsid w:val="7B423B59"/>
    <w:rsid w:val="7B6FE944"/>
    <w:rsid w:val="7BA3EC91"/>
    <w:rsid w:val="7BE787CF"/>
    <w:rsid w:val="7C58388D"/>
    <w:rsid w:val="7C7A5981"/>
    <w:rsid w:val="7CF5D5DB"/>
    <w:rsid w:val="7D7EC8CD"/>
    <w:rsid w:val="7E282AF5"/>
    <w:rsid w:val="7E3D82B6"/>
    <w:rsid w:val="7E7F0693"/>
    <w:rsid w:val="7EBE223A"/>
    <w:rsid w:val="7ED92472"/>
    <w:rsid w:val="7ED99CC2"/>
    <w:rsid w:val="7F1879BC"/>
    <w:rsid w:val="7F3A5975"/>
    <w:rsid w:val="7F5E5D34"/>
    <w:rsid w:val="7FFF1899"/>
    <w:rsid w:val="81EB3C3A"/>
    <w:rsid w:val="8CDA845A"/>
    <w:rsid w:val="8FDD6C5D"/>
    <w:rsid w:val="95CB16DE"/>
    <w:rsid w:val="99B77EE0"/>
    <w:rsid w:val="9E7B6197"/>
    <w:rsid w:val="9FED37BA"/>
    <w:rsid w:val="A1F996D1"/>
    <w:rsid w:val="A3FF80E5"/>
    <w:rsid w:val="AB6F98F3"/>
    <w:rsid w:val="B7799B9E"/>
    <w:rsid w:val="B7FF7374"/>
    <w:rsid w:val="BB9F279F"/>
    <w:rsid w:val="BCB190C7"/>
    <w:rsid w:val="BDF6F2E2"/>
    <w:rsid w:val="BF69E885"/>
    <w:rsid w:val="BFB650B6"/>
    <w:rsid w:val="C6FCE371"/>
    <w:rsid w:val="C7F7F066"/>
    <w:rsid w:val="CD3B0D55"/>
    <w:rsid w:val="D57D44D0"/>
    <w:rsid w:val="D7EE2A06"/>
    <w:rsid w:val="DA77DE6A"/>
    <w:rsid w:val="DBB74874"/>
    <w:rsid w:val="DDF6AF67"/>
    <w:rsid w:val="DF7BDF92"/>
    <w:rsid w:val="DF8DE048"/>
    <w:rsid w:val="DFAB23FE"/>
    <w:rsid w:val="DFB724C3"/>
    <w:rsid w:val="DFBFE4DB"/>
    <w:rsid w:val="DFFCAA03"/>
    <w:rsid w:val="E7DD7C91"/>
    <w:rsid w:val="E7F7B4E4"/>
    <w:rsid w:val="E7FDA2F2"/>
    <w:rsid w:val="EA6790F0"/>
    <w:rsid w:val="EBEF1CA0"/>
    <w:rsid w:val="EBF5BF5A"/>
    <w:rsid w:val="EDFE27A9"/>
    <w:rsid w:val="EEFF3E89"/>
    <w:rsid w:val="EF7D7BB4"/>
    <w:rsid w:val="EF99AF02"/>
    <w:rsid w:val="F047853D"/>
    <w:rsid w:val="F2ECBDBB"/>
    <w:rsid w:val="F4C7C781"/>
    <w:rsid w:val="F5FF6C02"/>
    <w:rsid w:val="F69F3012"/>
    <w:rsid w:val="F6FE7D1F"/>
    <w:rsid w:val="F77E2CBB"/>
    <w:rsid w:val="F7AB5BD3"/>
    <w:rsid w:val="F7B564CC"/>
    <w:rsid w:val="F7BFE11D"/>
    <w:rsid w:val="FAFF5057"/>
    <w:rsid w:val="FB5FEA50"/>
    <w:rsid w:val="FBDF6E2B"/>
    <w:rsid w:val="FBFF326E"/>
    <w:rsid w:val="FD661357"/>
    <w:rsid w:val="FDF3622D"/>
    <w:rsid w:val="FE1BD8BF"/>
    <w:rsid w:val="FE3F8DB9"/>
    <w:rsid w:val="FE77F456"/>
    <w:rsid w:val="FECFFF92"/>
    <w:rsid w:val="FEF39F24"/>
    <w:rsid w:val="FF4F0F57"/>
    <w:rsid w:val="FF9FF837"/>
    <w:rsid w:val="FFAD37E5"/>
    <w:rsid w:val="FFD83BD6"/>
    <w:rsid w:val="FFDB47DB"/>
    <w:rsid w:val="FFDDC2DC"/>
    <w:rsid w:val="FFDF4CDE"/>
    <w:rsid w:val="FFDFD5D3"/>
    <w:rsid w:val="FFE6752D"/>
    <w:rsid w:val="FFFD938C"/>
    <w:rsid w:val="FFFFD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/>
    </w:rPr>
  </w:style>
  <w:style w:type="paragraph" w:styleId="3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文字 Char"/>
    <w:basedOn w:val="7"/>
    <w:link w:val="3"/>
    <w:qFormat/>
    <w:uiPriority w:val="0"/>
    <w:rPr>
      <w:rFonts w:ascii="??" w:hAnsi="??" w:eastAsia="宋体" w:cs="??"/>
      <w:sz w:val="32"/>
      <w:szCs w:val="21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1982</Words>
  <Characters>2544</Characters>
  <Lines>0</Lines>
  <Paragraphs>0</Paragraphs>
  <TotalTime>0</TotalTime>
  <ScaleCrop>false</ScaleCrop>
  <LinksUpToDate>false</LinksUpToDate>
  <CharactersWithSpaces>2655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2020-08-16T01:20:00Z</dcterms:created>
  <dc:creator>NTKO</dc:creator>
  <cp:lastModifiedBy>uos</cp:lastModifiedBy>
  <cp:lastPrinted>2025-01-29T06:35:00Z</cp:lastPrinted>
  <dcterms:modified xsi:type="dcterms:W3CDTF">2025-05-12T09:56:39Z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